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591"/>
        <w:gridCol w:w="839"/>
        <w:gridCol w:w="1389"/>
        <w:gridCol w:w="1181"/>
      </w:tblGrid>
      <w:tr>
        <w:trPr>
          <w:trHeight w:val="638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 History with Overweight Relative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0.74, 19.3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Frequent consumption of high caloric food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0.11, 3.97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Frequency of consumption of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Sometimes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0.32, 0.99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Always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0.73, 2.31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of Main Meals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Between 1 &amp;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Three or more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1.31, 2.27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Consumption of water daily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Less than 1 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Between 1 and 2 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0.67, 1.71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More than 2 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0.81, 2.84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Physical activity frequency per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physical activity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or 2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0.52, 1.66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to 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0.86, 3.98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or 5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0.15, 31.8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Consumption of food between meals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Sometimes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2.39, 62.4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Frequently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0.06, 2.04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Always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0.50, 19.8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Calories consumption monitoring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0.04, 0.47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Transportation of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Automobile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0.35, 2.62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Public_Transportation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3.31, 6.76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12.4, 47.7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 History with Overweight Relative * Frequent consumption of high caloric food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 *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2.37, 96.7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Consumption of water daily * Physical activity frequency per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Between 1 and 2 L * 1 or 2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0.35, 1.36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More than 2 L * 1 or 2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0.52, 2.87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Between 1 and 2 L * 2 to 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0.17, 0.97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More than 2 L * 2 to 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0.08, 0.63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Between 1 and 2 L * 4 or 5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0.00, 0.74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More than 2 L * 4 or 5 days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0.03, 7.21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Abbreviations: CI = Confidence Interval, OR = Odds Ratio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2026-09-01T18:50:33Z</dcterms:modified>
  <cp:category/>
</cp:coreProperties>
</file>