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rPr>
        <w:t>A Comprehensive Security and Architecture Survey of a Full-Stack Hospital Management System: Authentication, Encryption, Real-Time Communication, and Regulatory Compliance</w:t>
      </w:r>
    </w:p>
    <w:p>
      <w:pPr>
        <w:spacing w:after="40"/>
        <w:jc w:val="center"/>
      </w:pPr>
      <w:r>
        <w:rPr>
          <w:rFonts w:ascii="Times New Roman" w:hAnsi="Times New Roman"/>
          <w:b w:val="0"/>
          <w:i/>
          <w:sz w:val="20"/>
        </w:rPr>
        <w:t>Research Survey — Automated Codebase Analysis</w:t>
      </w:r>
    </w:p>
    <w:p>
      <w:pPr>
        <w:spacing w:after="120"/>
        <w:jc w:val="center"/>
      </w:pPr>
      <w:r>
        <w:rPr>
          <w:rFonts w:ascii="Times New Roman" w:hAnsi="Times New Roman"/>
          <w:b w:val="0"/>
          <w:i w:val="0"/>
          <w:sz w:val="18"/>
        </w:rPr>
        <w:t>Department of Computer Science and Engineering, City General Hospital HMS Project</w:t>
      </w:r>
    </w:p>
    <w:p>
      <w:pPr>
        <w:spacing w:after="80"/>
        <w:jc w:val="both"/>
      </w:pPr>
      <w:r>
        <w:rPr>
          <w:rFonts w:ascii="Times New Roman" w:hAnsi="Times New Roman"/>
          <w:b/>
          <w:i w:val="0"/>
          <w:sz w:val="18"/>
        </w:rPr>
        <w:t>Abstract—</w:t>
      </w:r>
      <w:r>
        <w:rPr>
          <w:rFonts w:ascii="Times New Roman" w:hAnsi="Times New Roman"/>
          <w:b w:val="0"/>
          <w:i w:val="0"/>
          <w:sz w:val="18"/>
        </w:rPr>
        <w:t>Hospital Management Systems (HMS) occupy a uniquely sensitive position in the software landscape: they handle the most private category of personal data — medical records — while simultaneously demanding the reliability of mission-critical infrastructure. This paper presents a systematic survey of the City General Hospital HMS, a full-stack open-source project comprising 187 source files across a React 18 single-page application frontend and a Node.js/Express backend, backed by PostgreSQL 16 and Redis 7. The survey was conducted through exhaustive static analysis of every source file, examining authentication mechanisms, authorization models, encryption strategies, real-time communication security, telemedicine implementation, audit logging, regulatory alignment, and offline resilience. Key findings include the deployment of RS256 asymmetric JWT authentication with Argon2id password hashing, a 19-role fine-grained RBAC system, multi-layer AES-256-GCM encryption covering files, messages, notifications, and database PII fields, a tamper-evident SHA-256 hash-chain audit log, WebRTC-based telemedicine with HMAC-signed room tokens, and a Progressive Web App with background sync for offline vitals recording. The system demonstrates strong alignment with HIPAA, GDPR, and India's DPDP 2023 requirements, while several implementation gaps — including plaintext group key storage and an incomplete telemedicine chat encryption path — are identified as areas for future hardening.</w:t>
      </w:r>
    </w:p>
    <w:p>
      <w:pPr>
        <w:spacing w:after="120"/>
        <w:jc w:val="both"/>
      </w:pPr>
      <w:r>
        <w:rPr>
          <w:rFonts w:ascii="Times New Roman" w:hAnsi="Times New Roman"/>
          <w:b/>
          <w:i/>
          <w:sz w:val="18"/>
        </w:rPr>
        <w:t>Index Terms—</w:t>
      </w:r>
      <w:r>
        <w:rPr>
          <w:rFonts w:ascii="Times New Roman" w:hAnsi="Times New Roman"/>
          <w:b w:val="0"/>
          <w:i/>
          <w:sz w:val="18"/>
        </w:rPr>
        <w:t>hospital management system, security, JWT, RBAC, AES-256-GCM, WebRTC, telemedicine, audit logging, HIPAA, GDPR, DPDP 2023, progressive web app, real-time communication, encryption</w:t>
      </w:r>
    </w:p>
    <w:p>
      <w:pPr>
        <w:spacing w:before="120" w:after="40"/>
      </w:pPr>
      <w:r>
        <w:rPr>
          <w:rFonts w:ascii="Times New Roman" w:hAnsi="Times New Roman"/>
          <w:b/>
          <w:i w:val="0"/>
          <w:sz w:val="18"/>
        </w:rPr>
        <w:t>I. INTRODUCTION</w:t>
      </w:r>
    </w:p>
    <w:p>
      <w:pPr>
        <w:spacing w:before="0" w:after="60"/>
        <w:ind w:firstLine="283"/>
        <w:jc w:val="both"/>
      </w:pPr>
      <w:r>
        <w:rPr>
          <w:rFonts w:ascii="Times New Roman" w:hAnsi="Times New Roman"/>
          <w:b w:val="0"/>
          <w:i w:val="0"/>
          <w:sz w:val="18"/>
        </w:rPr>
        <w:t>Healthcare data is among the most sensitive information a person can share. A patient's diagnosis, medication history, and lab results can affect their employment, insurance, and personal relationships if exposed. Yet hospitals must also move fast: a nurse recording vitals at 3 a.m. cannot wait for a slow system, and a doctor joining a telemedicine call from a different city needs the same seamless experience as one sitting at a desktop terminal. Building software that is simultaneously secure, fast, and accessible across 19 different staff roles is one of the hardest problems in applied software engineering.</w:t>
      </w:r>
    </w:p>
    <w:p>
      <w:pPr>
        <w:spacing w:before="0" w:after="60"/>
        <w:ind w:firstLine="283"/>
        <w:jc w:val="both"/>
      </w:pPr>
      <w:r>
        <w:rPr>
          <w:rFonts w:ascii="Times New Roman" w:hAnsi="Times New Roman"/>
          <w:b w:val="0"/>
          <w:i w:val="0"/>
          <w:sz w:val="18"/>
        </w:rPr>
        <w:t>The City General Hospital HMS addresses this challenge through a carefully layered architecture. The system covers the full operational surface of a mid-sized hospital: patient registration and appointments, electronic health records, prescriptions with drug-interaction checking, laboratory order management, telemedicine video consultations, encrypted group messaging, billing with payment gateway integration, inventory and bed management, HR and shift scheduling, and an AI-powered patient chatbot. All of this is delivered through a React 18 Progressive Web App that works even when the network drops.</w:t>
      </w:r>
    </w:p>
    <w:p>
      <w:pPr>
        <w:spacing w:before="0" w:after="60"/>
        <w:ind w:firstLine="283"/>
        <w:jc w:val="both"/>
      </w:pPr>
      <w:r>
        <w:rPr>
          <w:rFonts w:ascii="Times New Roman" w:hAnsi="Times New Roman"/>
          <w:b w:val="0"/>
          <w:i w:val="0"/>
          <w:sz w:val="18"/>
        </w:rPr>
        <w:t>This paper surveys the security and architectural decisions embedded in the system's 187 source files. The goal is not to evaluate the system against a checklist but to explain, in plain terms, why each decision was made and what it achieves. Section II describes the survey methodology. Sections III through XIV examine specific technical domains. Section XV compares the system against related work. Sections XVI through XVIII evaluate results, discuss limitations, and conclude.</w:t>
      </w:r>
    </w:p>
    <w:p>
      <w:pPr>
        <w:spacing w:before="120" w:after="40"/>
      </w:pPr>
      <w:r>
        <w:rPr>
          <w:rFonts w:ascii="Times New Roman" w:hAnsi="Times New Roman"/>
          <w:b/>
          <w:i w:val="0"/>
          <w:sz w:val="18"/>
        </w:rPr>
        <w:t>II. SURVEY METHODOLOGY</w:t>
      </w:r>
    </w:p>
    <w:p>
      <w:pPr>
        <w:spacing w:before="0" w:after="60"/>
        <w:ind w:firstLine="283"/>
        <w:jc w:val="both"/>
      </w:pPr>
      <w:r>
        <w:rPr>
          <w:rFonts w:ascii="Times New Roman" w:hAnsi="Times New Roman"/>
          <w:b w:val="0"/>
          <w:i w:val="0"/>
          <w:sz w:val="18"/>
        </w:rPr>
        <w:t>The survey was conducted through exhaustive static analysis of the entire project repository. Every source file was read in full, including JavaScript/JSX frontend components, Node.js backend modules, PostgreSQL schema definitions, database migration scripts, Docker Compose configuration, environment variable templates, and the service worker. No file was skipped or sampled.</w:t>
      </w:r>
    </w:p>
    <w:p>
      <w:pPr>
        <w:spacing w:before="0" w:after="60"/>
        <w:ind w:firstLine="283"/>
        <w:jc w:val="both"/>
      </w:pPr>
      <w:r>
        <w:rPr>
          <w:rFonts w:ascii="Times New Roman" w:hAnsi="Times New Roman"/>
          <w:b w:val="0"/>
          <w:i w:val="0"/>
          <w:sz w:val="18"/>
        </w:rPr>
        <w:t>For each file, the analysis extracted: the file's purpose and role in the system; all libraries and frameworks imported; security-relevant code paths including authentication checks, encryption calls, and validation logic; database queries and the data they access; and any comments indicating known limitations or TODOs. Findings were aggregated into a structured JSON audit report covering 17 functional modules, 41 database models, and 52 distinct API endpoint groups.</w:t>
      </w:r>
    </w:p>
    <w:p>
      <w:pPr>
        <w:spacing w:before="0" w:after="60"/>
        <w:ind w:firstLine="283"/>
        <w:jc w:val="both"/>
      </w:pPr>
      <w:r>
        <w:rPr>
          <w:rFonts w:ascii="Times New Roman" w:hAnsi="Times New Roman"/>
          <w:b w:val="0"/>
          <w:i w:val="0"/>
          <w:sz w:val="18"/>
        </w:rPr>
        <w:t>The analysis was guided by four reference frameworks: the OWASP Top 10 (2021) for web application security, NIST SP 800-63B for authentication assurance, the HIPAA Security Rule for healthcare data protection, and India's Digital Personal Data Protection Act 2023 (DPDP 2023) for data privacy compliance. Where the codebase explicitly addresses a requirement from these frameworks, the finding is cited in the relevant section. Where a gap exists, it is noted honestly.</w:t>
      </w:r>
    </w:p>
    <w:p>
      <w:pPr>
        <w:spacing w:before="120" w:after="40"/>
      </w:pPr>
      <w:r>
        <w:rPr>
          <w:rFonts w:ascii="Times New Roman" w:hAnsi="Times New Roman"/>
          <w:b/>
          <w:i w:val="0"/>
          <w:sz w:val="18"/>
        </w:rPr>
        <w:t>III. SYSTEM ARCHITECTURE</w:t>
      </w:r>
    </w:p>
    <w:p>
      <w:pPr>
        <w:spacing w:before="0" w:after="60"/>
        <w:ind w:firstLine="283"/>
        <w:jc w:val="both"/>
      </w:pPr>
      <w:r>
        <w:rPr>
          <w:rFonts w:ascii="Times New Roman" w:hAnsi="Times New Roman"/>
          <w:b w:val="0"/>
          <w:i w:val="0"/>
          <w:sz w:val="18"/>
        </w:rPr>
        <w:t>The HMS follows a monorepo full-stack architecture with a clear separation between a React single-page application and a Node.js API server. Think of it as a restaurant: the React frontend is the dining room where users interact, the Express backend is the kitchen where work gets done, PostgreSQL is the pantry where everything is stored long-term, and Redis is the prep counter where frequently needed items are kept close at hand.</w:t>
      </w:r>
    </w:p>
    <w:p>
      <w:pPr>
        <w:spacing w:before="0" w:after="60"/>
        <w:ind w:firstLine="283"/>
        <w:jc w:val="both"/>
      </w:pPr>
      <w:r>
        <w:rPr>
          <w:rFonts w:ascii="Times New Roman" w:hAnsi="Times New Roman"/>
          <w:b w:val="0"/>
          <w:i w:val="0"/>
          <w:sz w:val="18"/>
        </w:rPr>
        <w:t>The frontend is built with React 18 and Vite 5, using React Router 6 for client-side navigation and TanStack Query v5 for server state management. Zustand 5 manages client-side auth state, persisted to sessionStorage so a page refresh does not log the user out. The application is delivered as a Progressive Web App with a Workbox service worker, enabling offline operation for critical workflows.</w:t>
      </w:r>
    </w:p>
    <w:p>
      <w:pPr>
        <w:spacing w:before="0" w:after="60"/>
        <w:ind w:firstLine="283"/>
        <w:jc w:val="both"/>
      </w:pPr>
      <w:r>
        <w:rPr>
          <w:rFonts w:ascii="Times New Roman" w:hAnsi="Times New Roman"/>
          <w:b w:val="0"/>
          <w:i w:val="0"/>
          <w:sz w:val="18"/>
        </w:rPr>
        <w:t>The backend is a Node.js 22 Express 5 application organized into 29 feature modules, each containing a routes file, controller, service, and Zod validation schema. A shared middleware layer handles authentication, RBAC, audit logging, rate limiting, CSRF protection, and input sanitization before any request reaches a route handler. Socket.io 4 runs on the same HTTP server, providing three authenticated namespaces: /notifications, /messaging, and /telemedicine.</w:t>
      </w:r>
    </w:p>
    <w:p>
      <w:pPr>
        <w:spacing w:before="0" w:after="60"/>
        <w:ind w:firstLine="283"/>
        <w:jc w:val="both"/>
      </w:pPr>
      <w:r>
        <w:rPr>
          <w:rFonts w:ascii="Times New Roman" w:hAnsi="Times New Roman"/>
          <w:b w:val="0"/>
          <w:i w:val="0"/>
          <w:sz w:val="18"/>
        </w:rPr>
        <w:t>PostgreSQL 16 serves as the primary data store with the pgcrypto extension enabled for field-level encryption. Redis 7 handles four distinct concerns: refresh token storage, rate limiter sliding windows, BullMQ job queues, and pub/sub fan-out for multi-instance Socket.io. BullMQ manages three worker queues: email delivery, push notifications, and async report generation. The entire stack is containerized with Docker Compose, with JWT RSA key pairs mounted as Docker secrets.</w:t>
      </w:r>
    </w:p>
    <w:p>
      <w:pPr>
        <w:spacing w:before="120" w:after="40"/>
      </w:pPr>
      <w:r>
        <w:rPr>
          <w:rFonts w:ascii="Times New Roman" w:hAnsi="Times New Roman"/>
          <w:b/>
          <w:i w:val="0"/>
          <w:sz w:val="18"/>
        </w:rPr>
        <w:t>IV. AUTHENTICATION AND IDENTITY</w:t>
      </w:r>
    </w:p>
    <w:p>
      <w:pPr>
        <w:spacing w:before="0" w:after="60"/>
        <w:ind w:firstLine="283"/>
        <w:jc w:val="both"/>
      </w:pPr>
      <w:r>
        <w:rPr>
          <w:rFonts w:ascii="Times New Roman" w:hAnsi="Times New Roman"/>
          <w:b w:val="0"/>
          <w:i w:val="0"/>
          <w:sz w:val="18"/>
        </w:rPr>
        <w:t>Authentication is the process of proving who you are. The HMS uses a two-token system that balances security with usability. When a user logs in, they receive a short-lived access token (valid for 15 minutes) and a long-lived refresh token (valid for 7 days). The access token is like a day pass — it gets you through doors quickly but expires soon. The refresh token is like a membership card — you use it to get a new day pass without logging in again.</w:t>
      </w:r>
    </w:p>
    <w:p>
      <w:pPr>
        <w:spacing w:before="0" w:after="60"/>
        <w:ind w:firstLine="283"/>
        <w:jc w:val="both"/>
      </w:pPr>
      <w:r>
        <w:rPr>
          <w:rFonts w:ascii="Times New Roman" w:hAnsi="Times New Roman"/>
          <w:b w:val="0"/>
          <w:i w:val="0"/>
          <w:sz w:val="18"/>
        </w:rPr>
        <w:t>Access tokens are RS256 JSON Web Tokens signed with a 2048-bit RSA private key. RS256 is an asymmetric algorithm: the server signs with the private key, and any service can verify with the public key without ever seeing the private key. This is important in distributed systems where multiple services need to validate tokens. The JWT payload carries the user's ID, roles array, department ID, first name, last name, and session ID. The issuer and audience claims are validated on every request, preventing tokens issued for one environment from being accepted in another.</w:t>
      </w:r>
    </w:p>
    <w:p>
      <w:pPr>
        <w:spacing w:before="0" w:after="60"/>
        <w:ind w:firstLine="283"/>
        <w:jc w:val="both"/>
      </w:pPr>
      <w:r>
        <w:rPr>
          <w:rFonts w:ascii="Times New Roman" w:hAnsi="Times New Roman"/>
          <w:b w:val="0"/>
          <w:i w:val="0"/>
          <w:sz w:val="18"/>
        </w:rPr>
        <w:t>Passwords are hashed with Argon2id, the winner of the 2015 Password Hashing Competition and the algorithm recommended by OWASP for new systems. The configuration uses 64 MB of memory, 3 time iterations, and 4 parallel threads — parameters that make brute-force attacks computationally expensive even with specialized hardware. After 5 failed login attempts from the same IP and username combination, the account is locked for 15 minutes and both the user and the SUPER_ADMIN receive an email alert. This dual notification is a HIPAA-aligned security incident response mechanism.</w:t>
      </w:r>
    </w:p>
    <w:p>
      <w:pPr>
        <w:spacing w:before="0" w:after="60"/>
        <w:ind w:firstLine="283"/>
        <w:jc w:val="both"/>
      </w:pPr>
      <w:r>
        <w:rPr>
          <w:rFonts w:ascii="Times New Roman" w:hAnsi="Times New Roman"/>
          <w:b w:val="0"/>
          <w:i w:val="0"/>
          <w:sz w:val="18"/>
        </w:rPr>
        <w:t>Password changes require a 6-digit OTP delivered by email, valid for 10 minutes and stored in Redis. New users receive a temporary password by email and are forced to change it on first login. A midnight cron job flushes all active refresh tokens daily, ensuring that even a stolen refresh token becomes invalid within 24 hours at most. This is an unusually aggressive session hygiene policy that prioritizes security over convenience.</w:t>
      </w:r>
    </w:p>
    <w:p>
      <w:pPr>
        <w:spacing w:before="120" w:after="40"/>
      </w:pPr>
      <w:r>
        <w:rPr>
          <w:rFonts w:ascii="Times New Roman" w:hAnsi="Times New Roman"/>
          <w:b/>
          <w:i w:val="0"/>
          <w:sz w:val="18"/>
        </w:rPr>
        <w:t>V. AUTHORIZATION AND ACCESS CONTROL</w:t>
      </w:r>
    </w:p>
    <w:p>
      <w:pPr>
        <w:spacing w:before="0" w:after="60"/>
        <w:ind w:firstLine="283"/>
        <w:jc w:val="both"/>
      </w:pPr>
      <w:r>
        <w:rPr>
          <w:rFonts w:ascii="Times New Roman" w:hAnsi="Times New Roman"/>
          <w:b w:val="0"/>
          <w:i w:val="0"/>
          <w:sz w:val="18"/>
        </w:rPr>
        <w:t>Authorization answers a different question from authentication: not 'who are you?' but 'what are you allowed to do?' The HMS implements Role-Based Access Control (RBAC) with 19 distinct roles, from SUPER_ADMIN down to ORDERLY and PATIENT. Think of it like a hospital building with different key cards: a nurse's card opens the ward but not the pharmacy dispensary; a pharmacist's card opens the dispensary but not the operating theatre schedule.</w:t>
      </w:r>
    </w:p>
    <w:p>
      <w:pPr>
        <w:spacing w:before="0" w:after="60"/>
        <w:ind w:firstLine="283"/>
        <w:jc w:val="both"/>
      </w:pPr>
      <w:r>
        <w:rPr>
          <w:rFonts w:ascii="Times New Roman" w:hAnsi="Times New Roman"/>
          <w:b w:val="0"/>
          <w:i w:val="0"/>
          <w:sz w:val="18"/>
        </w:rPr>
        <w:t>On the server, every protected route is guarded by two middleware functions applied in sequence. The authenticate() middleware verifies the JWT signature and attaches the decoded user object to the request. The authorize() middleware then checks whether the user's roles array contains at least one of the roles permitted for that route. If not, a 403 Forbidden response is returned immediately. The roles are stored in the JWT payload, so no database lookup is needed on every request — the token itself is the credential.</w:t>
      </w:r>
    </w:p>
    <w:p>
      <w:pPr>
        <w:spacing w:before="0" w:after="60"/>
        <w:ind w:firstLine="283"/>
        <w:jc w:val="both"/>
      </w:pPr>
      <w:r>
        <w:rPr>
          <w:rFonts w:ascii="Times New Roman" w:hAnsi="Times New Roman"/>
          <w:b w:val="0"/>
          <w:i w:val="0"/>
          <w:sz w:val="18"/>
        </w:rPr>
        <w:t>A special ownership middleware handles the PATIENT role. Patients can only access their own records. When a patient requests a prescription, lab result, or bill, the ownership middleware queries the database to confirm that the requested resource belongs to that patient's account. If it does not, a 403 is returned. This prevents a patient from guessing another patient's record ID and accessing their data — a common vulnerability in healthcare APIs known as Insecure Direct Object Reference (IDOR), listed as OWASP A01:2021.</w:t>
      </w:r>
    </w:p>
    <w:p>
      <w:pPr>
        <w:spacing w:before="0" w:after="60"/>
        <w:ind w:firstLine="283"/>
        <w:jc w:val="both"/>
      </w:pPr>
      <w:r>
        <w:rPr>
          <w:rFonts w:ascii="Times New Roman" w:hAnsi="Times New Roman"/>
          <w:b w:val="0"/>
          <w:i w:val="0"/>
          <w:sz w:val="18"/>
        </w:rPr>
        <w:t>On the client side, the React Router configuration wraps every route group in a RequireAuth component that checks the user's roles before rendering. If a user navigates directly to a URL they are not authorized for, they are redirected to the home page. This client-side guard is a usability feature, not a security boundary — the real enforcement happens on the server. The audit report confirms that all 52 API endpoint groups have server-side role checks.</w:t>
      </w:r>
    </w:p>
    <w:p>
      <w:pPr>
        <w:spacing w:before="120" w:after="40"/>
      </w:pPr>
      <w:r>
        <w:rPr>
          <w:rFonts w:ascii="Times New Roman" w:hAnsi="Times New Roman"/>
          <w:b/>
          <w:i w:val="0"/>
          <w:sz w:val="18"/>
        </w:rPr>
        <w:t>VI. DATA ENCRYPTION STRATEGY</w:t>
      </w:r>
    </w:p>
    <w:p>
      <w:pPr>
        <w:spacing w:before="0" w:after="60"/>
        <w:ind w:firstLine="283"/>
        <w:jc w:val="both"/>
      </w:pPr>
      <w:r>
        <w:rPr>
          <w:rFonts w:ascii="Times New Roman" w:hAnsi="Times New Roman"/>
          <w:b w:val="0"/>
          <w:i w:val="0"/>
          <w:sz w:val="18"/>
        </w:rPr>
        <w:t>The HMS employs a multi-layer encryption strategy that protects data at every stage of its journey: in the browser before it leaves the user's device, in transit over HTTPS, and at rest in the database. This is sometimes called defense in depth — even if one layer is breached, the data remains protected by the others.</w:t>
      </w:r>
    </w:p>
    <w:p>
      <w:pPr>
        <w:spacing w:before="0" w:after="60"/>
        <w:ind w:firstLine="283"/>
        <w:jc w:val="both"/>
      </w:pPr>
      <w:r>
        <w:rPr>
          <w:rFonts w:ascii="Times New Roman" w:hAnsi="Times New Roman"/>
          <w:b w:val="0"/>
          <w:i w:val="0"/>
          <w:sz w:val="18"/>
        </w:rPr>
        <w:t>The outermost layer is client-side file encryption. Before a medical file is uploaded, the browser encrypts it using AES-256-GCM via the Web Crypto API. AES-256-GCM is a symmetric cipher that provides both confidentiality (the data cannot be read) and integrity (any tampering is detected). The encryption key is derived using PBKDF2-SHA256 with 310,000 iterations — the OWASP 2023 recommendation — making brute-force key recovery computationally infeasible. The encrypted ciphertext is what travels over the network and what is stored on disk. The server never sees the plaintext file.</w:t>
      </w:r>
    </w:p>
    <w:p>
      <w:pPr>
        <w:spacing w:before="0" w:after="60"/>
        <w:ind w:firstLine="283"/>
        <w:jc w:val="both"/>
      </w:pPr>
      <w:r>
        <w:rPr>
          <w:rFonts w:ascii="Times New Roman" w:hAnsi="Times New Roman"/>
          <w:b w:val="0"/>
          <w:i w:val="0"/>
          <w:sz w:val="18"/>
        </w:rPr>
        <w:t>The second layer is database field-level encryption using PostgreSQL's pgcrypto extension. Sensitive PII fields — email addresses, phone numbers, home addresses, emergency contacts, medical diagnoses, treatment plans, and clinical notes — are encrypted with pgp_sym_encrypt before being written to the database. The encryption key is stored in an environment variable (PG_CRYPTO_KEY), never in the source code. This means that even if an attacker gains direct database access, they cannot read patient contact information or clinical data without the key.</w:t>
      </w:r>
    </w:p>
    <w:p>
      <w:pPr>
        <w:spacing w:before="0" w:after="60"/>
        <w:ind w:firstLine="283"/>
        <w:jc w:val="both"/>
      </w:pPr>
      <w:r>
        <w:rPr>
          <w:rFonts w:ascii="Times New Roman" w:hAnsi="Times New Roman"/>
          <w:b w:val="0"/>
          <w:i w:val="0"/>
          <w:sz w:val="18"/>
        </w:rPr>
        <w:t>The third layer covers real-time data. Messages in the group chat system are encrypted with AES-256-GCM before being sent over the WebSocket connection. The ciphertext and initialization vector (IV) are stored in the database; the server never decodes message content. Notifications follow the same pattern: title and body are encrypted before storage. JWT access tokens are wrapped in an additional AES-256-GCM layer before being stored in sessionStorage, protecting them from XSS attacks that might attempt to read storage directly.</w:t>
      </w:r>
    </w:p>
    <w:p>
      <w:pPr>
        <w:spacing w:before="0" w:after="60"/>
        <w:ind w:firstLine="283"/>
        <w:jc w:val="both"/>
      </w:pPr>
      <w:r>
        <w:rPr>
          <w:rFonts w:ascii="Times New Roman" w:hAnsi="Times New Roman"/>
          <w:b w:val="0"/>
          <w:i w:val="0"/>
          <w:sz w:val="18"/>
        </w:rPr>
        <w:t>File integrity is verified using SHA-256 checksums stored alongside each file record. When a file is downloaded, the client can verify the checksum to detect any corruption or tampering during storage. The audit report identifies 41 database columns across 15 tables that carry encrypted data, covering all categories of protected health information defined by HIPAA.</w:t>
      </w:r>
    </w:p>
    <w:p>
      <w:pPr>
        <w:spacing w:before="120" w:after="40"/>
      </w:pPr>
      <w:r>
        <w:rPr>
          <w:rFonts w:ascii="Times New Roman" w:hAnsi="Times New Roman"/>
          <w:b/>
          <w:i w:val="0"/>
          <w:sz w:val="18"/>
        </w:rPr>
        <w:t>VII. API SECURITY AND ATTACK PREVENTION</w:t>
      </w:r>
    </w:p>
    <w:p>
      <w:pPr>
        <w:spacing w:before="0" w:after="60"/>
        <w:ind w:firstLine="283"/>
        <w:jc w:val="both"/>
      </w:pPr>
      <w:r>
        <w:rPr>
          <w:rFonts w:ascii="Times New Roman" w:hAnsi="Times New Roman"/>
          <w:b w:val="0"/>
          <w:i w:val="0"/>
          <w:sz w:val="18"/>
        </w:rPr>
        <w:t>An API is the front door of a web application. The HMS applies a layered defense at this door, with each layer catching a different category of attack. The layers are applied in a fixed order in the Express middleware stack, so every request passes through all of them before reaching any business logic.</w:t>
      </w:r>
    </w:p>
    <w:p>
      <w:pPr>
        <w:spacing w:before="0" w:after="60"/>
        <w:ind w:firstLine="283"/>
        <w:jc w:val="both"/>
      </w:pPr>
      <w:r>
        <w:rPr>
          <w:rFonts w:ascii="Times New Roman" w:hAnsi="Times New Roman"/>
          <w:b w:val="0"/>
          <w:i w:val="0"/>
          <w:sz w:val="18"/>
        </w:rPr>
        <w:t>The first layer is Helmet.js, which sets a suite of HTTP security headers. The most important is the Content Security Policy (CSP), which tells the browser to only execute scripts and load resources from the application's own origin. This prevents Cross-Site Scripting (XSS) attacks, where an attacker injects malicious JavaScript into a page. The CSP configuration explicitly disallows unsafe-eval and unsafe-inline for scripts, which are the two most common XSS vectors.</w:t>
      </w:r>
    </w:p>
    <w:p>
      <w:pPr>
        <w:spacing w:before="0" w:after="60"/>
        <w:ind w:firstLine="283"/>
        <w:jc w:val="both"/>
      </w:pPr>
      <w:r>
        <w:rPr>
          <w:rFonts w:ascii="Times New Roman" w:hAnsi="Times New Roman"/>
          <w:b w:val="0"/>
          <w:i w:val="0"/>
          <w:sz w:val="18"/>
        </w:rPr>
        <w:t>The second layer is CSRF protection using the double-submit cookie pattern via the csrf-csrf library. Cross-Site Request Forgery is an attack where a malicious website tricks a logged-in user's browser into making an unwanted request to the HMS. The double-submit pattern defeats this by requiring every state-changing request (POST, PUT, PATCH, DELETE) to include a token that was issued by the server and stored in an HttpOnly cookie. A malicious site cannot read the cookie, so it cannot forge the token. In production, the cookie uses the __Host- prefix, which prevents it from being set by subdomains.</w:t>
      </w:r>
    </w:p>
    <w:p>
      <w:pPr>
        <w:spacing w:before="0" w:after="60"/>
        <w:ind w:firstLine="283"/>
        <w:jc w:val="both"/>
      </w:pPr>
      <w:r>
        <w:rPr>
          <w:rFonts w:ascii="Times New Roman" w:hAnsi="Times New Roman"/>
          <w:b w:val="0"/>
          <w:i w:val="0"/>
          <w:sz w:val="18"/>
        </w:rPr>
        <w:t>The third layer is rate limiting using a Redis-backed sliding window algorithm. The global limit is 200 requests per minute per IP address. Authentication endpoints are limited to 20 requests per 15 minutes, and login attempts are limited to 5 per 15 minutes per IP-and-username combination. These limits are enforced in Redis using sorted sets, which allow precise sliding window calculations without the thundering herd problem of fixed windows. If Redis is unavailable, the limiter fails open — a deliberate trade-off that prioritizes availability over strict enforcement during infrastructure failures.</w:t>
      </w:r>
    </w:p>
    <w:p>
      <w:pPr>
        <w:spacing w:before="0" w:after="60"/>
        <w:ind w:firstLine="283"/>
        <w:jc w:val="both"/>
      </w:pPr>
      <w:r>
        <w:rPr>
          <w:rFonts w:ascii="Times New Roman" w:hAnsi="Times New Roman"/>
          <w:b w:val="0"/>
          <w:i w:val="0"/>
          <w:sz w:val="18"/>
        </w:rPr>
        <w:t>The fourth layer is IP blocking. Administrators can add IP addresses to a blocked_ips table with an optional expiry time. The block list is cached in Redis with a 60-second TTL, so the database is not queried on every request. This allows rapid response to detected attacks without requiring a server restart. The fifth layer is input sanitization: all request bodies are scanned for null bytes and ASCII control characters, which are common in injection attacks. The sixth layer is Zod schema validation, which rejects any request whose body, query parameters, or path parameters do not match the expected shape and type.</w:t>
      </w:r>
    </w:p>
    <w:p>
      <w:pPr>
        <w:spacing w:before="120" w:after="40"/>
      </w:pPr>
      <w:r>
        <w:rPr>
          <w:rFonts w:ascii="Times New Roman" w:hAnsi="Times New Roman"/>
          <w:b/>
          <w:i w:val="0"/>
          <w:sz w:val="18"/>
        </w:rPr>
        <w:t>VIII. SESSION MANAGEMENT</w:t>
      </w:r>
    </w:p>
    <w:p>
      <w:pPr>
        <w:spacing w:before="0" w:after="60"/>
        <w:ind w:firstLine="283"/>
        <w:jc w:val="both"/>
      </w:pPr>
      <w:r>
        <w:rPr>
          <w:rFonts w:ascii="Times New Roman" w:hAnsi="Times New Roman"/>
          <w:b w:val="0"/>
          <w:i w:val="0"/>
          <w:sz w:val="18"/>
        </w:rPr>
        <w:t>A session is the record of a user's ongoing interaction with the system. Managing sessions securely means ensuring that sessions cannot be stolen, forged, or kept alive longer than necessary. The HMS approaches this with a combination of server-side session records, client-side inactivity detection, and administrative override capabilities.</w:t>
      </w:r>
    </w:p>
    <w:p>
      <w:pPr>
        <w:spacing w:before="0" w:after="60"/>
        <w:ind w:firstLine="283"/>
        <w:jc w:val="both"/>
      </w:pPr>
      <w:r>
        <w:rPr>
          <w:rFonts w:ascii="Times New Roman" w:hAnsi="Times New Roman"/>
          <w:b w:val="0"/>
          <w:i w:val="0"/>
          <w:sz w:val="18"/>
        </w:rPr>
        <w:t>When a user logs in, a session record is created in the PostgreSQL sessions table. The record stores a SHA-256 hash of the user's IP address and a hash of their user-agent string — not the raw values, which would be PII — along with the session creation time and expiry. The refresh token stored in Redis is linked to this session ID, creating a two-way binding between the Redis token and the database record.</w:t>
      </w:r>
    </w:p>
    <w:p>
      <w:pPr>
        <w:spacing w:before="0" w:after="60"/>
        <w:ind w:firstLine="283"/>
        <w:jc w:val="both"/>
      </w:pPr>
      <w:r>
        <w:rPr>
          <w:rFonts w:ascii="Times New Roman" w:hAnsi="Times New Roman"/>
          <w:b w:val="0"/>
          <w:i w:val="0"/>
          <w:sz w:val="18"/>
        </w:rPr>
        <w:t>Users can view all their active sessions from the profile page, which shows each session's device type (Mobile, Browser, or Unknown) and relative creation time. They can revoke any individual session or sign out all other devices with a single click. When a session is revoked, both the database record and the corresponding Redis refresh token are invalidated immediately. This is the 'sign out everywhere' feature that users of modern applications expect.</w:t>
      </w:r>
    </w:p>
    <w:p>
      <w:pPr>
        <w:spacing w:before="0" w:after="60"/>
        <w:ind w:firstLine="283"/>
        <w:jc w:val="both"/>
      </w:pPr>
      <w:r>
        <w:rPr>
          <w:rFonts w:ascii="Times New Roman" w:hAnsi="Times New Roman"/>
          <w:b w:val="0"/>
          <w:i w:val="0"/>
          <w:sz w:val="18"/>
        </w:rPr>
        <w:t>On the client side, a 30-minute inactivity timer monitors mouse movements, keyboard input, touch events, and scroll events. If no activity is detected for 28 minutes, a warning is shown. At 30 minutes, the user is automatically logged out and redirected to the login page. This protects against the common scenario of a clinician leaving a workstation unattended. Administrators can also force-logout any active session from the admin dashboard, which is useful when a device is reported lost or stolen.</w:t>
      </w:r>
    </w:p>
    <w:p>
      <w:pPr>
        <w:spacing w:before="120" w:after="40"/>
      </w:pPr>
      <w:r>
        <w:rPr>
          <w:rFonts w:ascii="Times New Roman" w:hAnsi="Times New Roman"/>
          <w:b/>
          <w:i w:val="0"/>
          <w:sz w:val="18"/>
        </w:rPr>
        <w:t>IX. REAL-TIME COMMUNICATION</w:t>
      </w:r>
    </w:p>
    <w:p>
      <w:pPr>
        <w:spacing w:before="0" w:after="60"/>
        <w:ind w:firstLine="283"/>
        <w:jc w:val="both"/>
      </w:pPr>
      <w:r>
        <w:rPr>
          <w:rFonts w:ascii="Times New Roman" w:hAnsi="Times New Roman"/>
          <w:b w:val="0"/>
          <w:i w:val="0"/>
          <w:sz w:val="18"/>
        </w:rPr>
        <w:t>Real-time communication in a hospital is not a luxury — it is a clinical necessity. A nurse needs to know immediately when a doctor has updated a patient's medication. A lab technician needs to push results the moment they are verified. The HMS implements real-time features through Socket.io 4, which uses WebSocket connections with automatic fallback to HTTP long-polling when WebSocket is unavailable.</w:t>
      </w:r>
    </w:p>
    <w:p>
      <w:pPr>
        <w:spacing w:before="0" w:after="60"/>
        <w:ind w:firstLine="283"/>
        <w:jc w:val="both"/>
      </w:pPr>
      <w:r>
        <w:rPr>
          <w:rFonts w:ascii="Times New Roman" w:hAnsi="Times New Roman"/>
          <w:b w:val="0"/>
          <w:i w:val="0"/>
          <w:sz w:val="18"/>
        </w:rPr>
        <w:t>Socket.io is organized into three namespaces, each serving a distinct purpose. The /notifications namespace delivers encrypted in-app alerts and triggers browser Web Push notifications via the VAPID protocol. The /messaging namespace handles the encrypted group chat system. The /telemedicine namespace relays WebRTC signaling for video consultations. Every namespace applies its own JWT authentication middleware, so a connection to /telemedicine cannot be established without a valid token — even if the user is already connected to /notifications.</w:t>
      </w:r>
    </w:p>
    <w:p>
      <w:pPr>
        <w:spacing w:before="0" w:after="60"/>
        <w:ind w:firstLine="283"/>
        <w:jc w:val="both"/>
      </w:pPr>
      <w:r>
        <w:rPr>
          <w:rFonts w:ascii="Times New Roman" w:hAnsi="Times New Roman"/>
          <w:b w:val="0"/>
          <w:i w:val="0"/>
          <w:sz w:val="18"/>
        </w:rPr>
        <w:t>The messaging system uses Redis pub/sub to fan out messages across multiple server instances. When a message is sent, it is published to a Redis channel. All server instances subscribe to this channel and forward the message to the appropriate Socket.io room. This architecture allows the system to scale horizontally without losing message delivery — a critical property for a system that might run on multiple servers behind a load balancer.</w:t>
      </w:r>
    </w:p>
    <w:p>
      <w:pPr>
        <w:spacing w:before="0" w:after="60"/>
        <w:ind w:firstLine="283"/>
        <w:jc w:val="both"/>
      </w:pPr>
      <w:r>
        <w:rPr>
          <w:rFonts w:ascii="Times New Roman" w:hAnsi="Times New Roman"/>
          <w:b w:val="0"/>
          <w:i w:val="0"/>
          <w:sz w:val="18"/>
        </w:rPr>
        <w:t>The group messaging system supports 21 notification types, including VITALS_CRITICAL and DRUG_INTERACTION_WARN, which are designed to surface urgent clinical alerts immediately. Typing indicators are implemented with a 3-second auto-clear timer to prevent stale indicators if a user closes their browser without sending a message. Online presence is tracked in both an in-memory map and Redis, with a 120-second TTL on the Redis key to handle server restarts gracefully.</w:t>
      </w:r>
    </w:p>
    <w:p>
      <w:pPr>
        <w:spacing w:before="120" w:after="40"/>
      </w:pPr>
      <w:r>
        <w:rPr>
          <w:rFonts w:ascii="Times New Roman" w:hAnsi="Times New Roman"/>
          <w:b/>
          <w:i w:val="0"/>
          <w:sz w:val="18"/>
        </w:rPr>
        <w:t>X. TELEMEDICINE MODULE</w:t>
      </w:r>
    </w:p>
    <w:p>
      <w:pPr>
        <w:spacing w:before="0" w:after="60"/>
        <w:ind w:firstLine="283"/>
        <w:jc w:val="both"/>
      </w:pPr>
      <w:r>
        <w:rPr>
          <w:rFonts w:ascii="Times New Roman" w:hAnsi="Times New Roman"/>
          <w:b w:val="0"/>
          <w:i w:val="0"/>
          <w:sz w:val="18"/>
        </w:rPr>
        <w:t>Telemedicine — the practice of conducting medical consultations over video — became mainstream during the COVID-19 pandemic and is now a standard feature of modern HMS platforms. The HMS implements telemedicine using WebRTC, the browser-native protocol for peer-to-peer audio and video. WebRTC is significant from a security perspective because the media stream travels directly between the doctor's and patient's browsers, never passing through the server. This means the server cannot record or intercept the video call.</w:t>
      </w:r>
    </w:p>
    <w:p>
      <w:pPr>
        <w:spacing w:before="0" w:after="60"/>
        <w:ind w:firstLine="283"/>
        <w:jc w:val="both"/>
      </w:pPr>
      <w:r>
        <w:rPr>
          <w:rFonts w:ascii="Times New Roman" w:hAnsi="Times New Roman"/>
          <w:b w:val="0"/>
          <w:i w:val="0"/>
          <w:sz w:val="18"/>
        </w:rPr>
        <w:t>The telemedicine flow begins when a doctor creates a session linked to a TELEMEDICINE-type appointment. The server generates a room token using HMAC-SHA256 with a server-side secret, binding the token to the session UUID. This token is the key to the virtual room. When a participant requests the token, the server verifies that they are either the doctor or the patient for that specific appointment, and that the current time is within the allowed window (5 minutes before the scheduled start, up to 30 minutes after the scheduled end).</w:t>
      </w:r>
    </w:p>
    <w:p>
      <w:pPr>
        <w:spacing w:before="0" w:after="60"/>
        <w:ind w:firstLine="283"/>
        <w:jc w:val="both"/>
      </w:pPr>
      <w:r>
        <w:rPr>
          <w:rFonts w:ascii="Times New Roman" w:hAnsi="Times New Roman"/>
          <w:b w:val="0"/>
          <w:i w:val="0"/>
          <w:sz w:val="18"/>
        </w:rPr>
        <w:t>WebRTC signaling — the exchange of connection parameters needed to establish the peer-to-peer link — is relayed through the /telemedicine Socket.io namespace. The implementation uses the 'perfect negotiation' pattern, which assigns one peer as 'polite' (the patient) and one as 'impolite' (the doctor) to resolve offer collisions deterministically. ICE candidates are relayed through the server using public Google STUN servers for NAT traversal. The absence of a TURN server is a noted limitation: in networks with symmetric NAT, the connection may fail.</w:t>
      </w:r>
    </w:p>
    <w:p>
      <w:pPr>
        <w:spacing w:before="0" w:after="60"/>
        <w:ind w:firstLine="283"/>
        <w:jc w:val="both"/>
      </w:pPr>
      <w:r>
        <w:rPr>
          <w:rFonts w:ascii="Times New Roman" w:hAnsi="Times New Roman"/>
          <w:b w:val="0"/>
          <w:i w:val="0"/>
          <w:sz w:val="18"/>
        </w:rPr>
        <w:t>The in-call chat feature sends ciphertext through the server, which relays it without logging the content. When the doctor ends the call, a modal prompts them to enter a consultation note, which is saved to the patient's medical_records table. BullMQ reminder jobs are scheduled 15 minutes before each session, delivering notifications to both participants. The audit report notes that the in-call chat's IV parameter is currently an empty string in the client implementation, meaning the chat encryption is incomplete and should be addressed before production deployment.</w:t>
      </w:r>
    </w:p>
    <w:p>
      <w:pPr>
        <w:spacing w:before="120" w:after="40"/>
      </w:pPr>
      <w:r>
        <w:rPr>
          <w:rFonts w:ascii="Times New Roman" w:hAnsi="Times New Roman"/>
          <w:b/>
          <w:i w:val="0"/>
          <w:sz w:val="18"/>
        </w:rPr>
        <w:t>XI. AUDIT LOGGING AND COMPLIANCE</w:t>
      </w:r>
    </w:p>
    <w:p>
      <w:pPr>
        <w:spacing w:before="0" w:after="60"/>
        <w:ind w:firstLine="283"/>
        <w:jc w:val="both"/>
      </w:pPr>
      <w:r>
        <w:rPr>
          <w:rFonts w:ascii="Times New Roman" w:hAnsi="Times New Roman"/>
          <w:b w:val="0"/>
          <w:i w:val="0"/>
          <w:sz w:val="18"/>
        </w:rPr>
        <w:t>An audit log is a record of who did what, when, and to which data. In healthcare, audit logs are not optional — they are a legal requirement under HIPAA and a practical necessity for detecting insider threats and investigating incidents. The HMS implements a tamper-evident audit log using a SHA-256 hash chain, a technique borrowed from blockchain technology.</w:t>
      </w:r>
    </w:p>
    <w:p>
      <w:pPr>
        <w:spacing w:before="0" w:after="60"/>
        <w:ind w:firstLine="283"/>
        <w:jc w:val="both"/>
      </w:pPr>
      <w:r>
        <w:rPr>
          <w:rFonts w:ascii="Times New Roman" w:hAnsi="Times New Roman"/>
          <w:b w:val="0"/>
          <w:i w:val="0"/>
          <w:sz w:val="18"/>
        </w:rPr>
        <w:t>The hash chain works like a linked list of fingerprints. Each audit log entry computes a SHA-256 hash of its own content (user ID, action, entity, IP address, timestamp, and the previous entry's hash). This hash is stored in the row_hash column. The next entry stores the previous entry's hash in its prev_hash column. If any entry is modified or deleted after the fact, its hash will no longer match the prev_hash of the following entry, making the tampering immediately detectable.</w:t>
      </w:r>
    </w:p>
    <w:p>
      <w:pPr>
        <w:spacing w:before="0" w:after="60"/>
        <w:ind w:firstLine="283"/>
        <w:jc w:val="both"/>
      </w:pPr>
      <w:r>
        <w:rPr>
          <w:rFonts w:ascii="Times New Roman" w:hAnsi="Times New Roman"/>
          <w:b w:val="0"/>
          <w:i w:val="0"/>
          <w:sz w:val="18"/>
        </w:rPr>
        <w:t>To prevent race conditions in the hash chain, all audit log writes acquire a PostgreSQL advisory lock before computing the hash. This ensures that two concurrent writes cannot both read the same 'previous hash' and produce a forked chain. The lock is transaction-scoped, so it is released automatically when the transaction commits or rolls back.</w:t>
      </w:r>
    </w:p>
    <w:p>
      <w:pPr>
        <w:spacing w:before="0" w:after="60"/>
        <w:ind w:firstLine="283"/>
        <w:jc w:val="both"/>
      </w:pPr>
      <w:r>
        <w:rPr>
          <w:rFonts w:ascii="Times New Roman" w:hAnsi="Times New Roman"/>
          <w:b w:val="0"/>
          <w:i w:val="0"/>
          <w:sz w:val="18"/>
        </w:rPr>
        <w:t>Every HTTP request to the API is automatically logged by the auditMiddleware, which intercepts the response and records the method, path, user ID, IP address, and status code. Service-layer functions add more detailed entries with prevData and nextData fields showing the state before and after each change. Administrators can view the audit log through a filterable interface, flag suspicious entries with a reason, and trigger a hash chain verification that checks every entry in sequence. The audit report confirms that 17 distinct action types are logged, covering all CRUD operations and security events.</w:t>
      </w:r>
    </w:p>
    <w:p>
      <w:pPr>
        <w:spacing w:before="120" w:after="40"/>
      </w:pPr>
      <w:r>
        <w:rPr>
          <w:rFonts w:ascii="Times New Roman" w:hAnsi="Times New Roman"/>
          <w:b/>
          <w:i w:val="0"/>
          <w:sz w:val="18"/>
        </w:rPr>
        <w:t>XII. REGULATORY COMPLIANCE</w:t>
      </w:r>
    </w:p>
    <w:p>
      <w:pPr>
        <w:spacing w:before="0" w:after="60"/>
        <w:ind w:firstLine="283"/>
        <w:jc w:val="both"/>
      </w:pPr>
      <w:r>
        <w:rPr>
          <w:rFonts w:ascii="Times New Roman" w:hAnsi="Times New Roman"/>
          <w:b w:val="0"/>
          <w:i w:val="0"/>
          <w:sz w:val="18"/>
        </w:rPr>
        <w:t>Healthcare software operates under a complex web of regulations that vary by country. The HMS was designed with three regulatory frameworks in mind: the US Health Insurance Portability and Accountability Act (HIPAA), the European General Data Protection Regulation (GDPR), and India's Digital Personal Data Protection Act 2023 (DPDP 2023). While the system is a college project and has not undergone formal compliance certification, its design choices reflect a serious engagement with these requirements.</w:t>
      </w:r>
    </w:p>
    <w:p>
      <w:pPr>
        <w:spacing w:before="0" w:after="60"/>
        <w:ind w:firstLine="283"/>
        <w:jc w:val="both"/>
      </w:pPr>
      <w:r>
        <w:rPr>
          <w:rFonts w:ascii="Times New Roman" w:hAnsi="Times New Roman"/>
          <w:b w:val="0"/>
          <w:i w:val="0"/>
          <w:sz w:val="18"/>
        </w:rPr>
        <w:t>HIPAA's Security Rule requires covered entities to implement technical safeguards including access controls, audit controls, integrity controls, and transmission security. The HMS addresses all four: access controls through the 19-role RBAC system and ownership middleware; audit controls through the hash-chain audit log; integrity controls through SHA-256 file checksums and database constraints; and transmission security through HTTPS (enforced by the Helmet CSP and HSTS headers) and WebSocket over TLS.</w:t>
      </w:r>
    </w:p>
    <w:p>
      <w:pPr>
        <w:spacing w:before="0" w:after="60"/>
        <w:ind w:firstLine="283"/>
        <w:jc w:val="both"/>
      </w:pPr>
      <w:r>
        <w:rPr>
          <w:rFonts w:ascii="Times New Roman" w:hAnsi="Times New Roman"/>
          <w:b w:val="0"/>
          <w:i w:val="0"/>
          <w:sz w:val="18"/>
        </w:rPr>
        <w:t>GDPR's key principles include data minimization, purpose limitation, storage limitation, and the right to erasure. The HMS implements soft deletes (deleted_at timestamps) rather than hard deletes, preserving data for audit purposes while marking it as inactive — a common pattern for healthcare systems where records may be needed for legal proceedings. PII is encrypted at the field level, meaning that even database administrators cannot read patient contact information without the encryption key. The system does not implement explicit consent management or data export features, which would be required for full GDPR compliance.</w:t>
      </w:r>
    </w:p>
    <w:p>
      <w:pPr>
        <w:spacing w:before="0" w:after="60"/>
        <w:ind w:firstLine="283"/>
        <w:jc w:val="both"/>
      </w:pPr>
      <w:r>
        <w:rPr>
          <w:rFonts w:ascii="Times New Roman" w:hAnsi="Times New Roman"/>
          <w:b w:val="0"/>
          <w:i w:val="0"/>
          <w:sz w:val="18"/>
        </w:rPr>
        <w:t>India's DPDP 2023 requires data fiduciaries to implement reasonable security safeguards, notify affected individuals of data breaches, and process personal data only for specified purposes. The account lockout email notification, the admin security alert on lockout, and the encrypted storage of all personal data fields align with these requirements. The audit report notes that formal breach notification workflows and data processing agreements are not implemented, representing gaps that would need to be addressed for production deployment in India.</w:t>
      </w:r>
    </w:p>
    <w:p>
      <w:pPr>
        <w:spacing w:before="120" w:after="40"/>
      </w:pPr>
      <w:r>
        <w:rPr>
          <w:rFonts w:ascii="Times New Roman" w:hAnsi="Times New Roman"/>
          <w:b/>
          <w:i w:val="0"/>
          <w:sz w:val="18"/>
        </w:rPr>
        <w:t>XIII. OFFLINE RESILIENCE</w:t>
      </w:r>
    </w:p>
    <w:p>
      <w:pPr>
        <w:spacing w:before="0" w:after="60"/>
        <w:ind w:firstLine="283"/>
        <w:jc w:val="both"/>
      </w:pPr>
      <w:r>
        <w:rPr>
          <w:rFonts w:ascii="Times New Roman" w:hAnsi="Times New Roman"/>
          <w:b w:val="0"/>
          <w:i w:val="0"/>
          <w:sz w:val="18"/>
        </w:rPr>
        <w:t>A hospital never stops operating, but networks do. A nurse recording a patient's vitals at 2 a.m. should not lose that data because the Wi-Fi dropped for 30 seconds. The HMS addresses this through a Progressive Web App architecture with a Workbox service worker that implements four distinct caching strategies tailored to different types of content.</w:t>
      </w:r>
    </w:p>
    <w:p>
      <w:pPr>
        <w:spacing w:before="0" w:after="60"/>
        <w:ind w:firstLine="283"/>
        <w:jc w:val="both"/>
      </w:pPr>
      <w:r>
        <w:rPr>
          <w:rFonts w:ascii="Times New Roman" w:hAnsi="Times New Roman"/>
          <w:b w:val="0"/>
          <w:i w:val="0"/>
          <w:sz w:val="18"/>
        </w:rPr>
        <w:t>Static assets — JavaScript bundles, CSS files, fonts, and icons — are served using a Cache First strategy. The browser checks its local cache first and only goes to the network if the asset is not found. This makes the application load instantly on repeat visits, even without a network connection. API responses are served using a Network First strategy with an 8-second timeout: the browser tries the network first, and if it does not respond within 8 seconds, it falls back to the cached response. This ensures that users see fresh data when online but can still access recent data when offline.</w:t>
      </w:r>
    </w:p>
    <w:p>
      <w:pPr>
        <w:spacing w:before="0" w:after="60"/>
        <w:ind w:firstLine="283"/>
        <w:jc w:val="both"/>
      </w:pPr>
      <w:r>
        <w:rPr>
          <w:rFonts w:ascii="Times New Roman" w:hAnsi="Times New Roman"/>
          <w:b w:val="0"/>
          <w:i w:val="0"/>
          <w:sz w:val="18"/>
        </w:rPr>
        <w:t>The most clinically significant offline feature is background sync for vitals recording. When a nurse submits a POST /vitals request and the network is unavailable, the service worker intercepts the failed request, stores the request body in an IndexedDB database, and registers a background sync event. When the network becomes available again — even if the browser tab has been closed — the service worker replays the stored request automatically. The server receives the vitals data as if it had been submitted in real time. This ensures that no patient observation is lost due to a temporary network outage.</w:t>
      </w:r>
    </w:p>
    <w:p>
      <w:pPr>
        <w:spacing w:before="0" w:after="60"/>
        <w:ind w:firstLine="283"/>
        <w:jc w:val="both"/>
      </w:pPr>
      <w:r>
        <w:rPr>
          <w:rFonts w:ascii="Times New Roman" w:hAnsi="Times New Roman"/>
          <w:b w:val="0"/>
          <w:i w:val="0"/>
          <w:sz w:val="18"/>
        </w:rPr>
        <w:t>The application is installable as a PWA on both desktop and mobile devices, with a custom install prompt component that detects the browser's beforeinstallprompt event. The web app manifest defines the application name, icons in 192px and 512px sizes, and a standalone display mode that removes the browser chrome, giving the installed app a native-like appearance. This is particularly valuable for clinical staff who use tablets at the bedside.</w:t>
      </w:r>
    </w:p>
    <w:p>
      <w:pPr>
        <w:spacing w:before="120" w:after="40"/>
      </w:pPr>
      <w:r>
        <w:rPr>
          <w:rFonts w:ascii="Times New Roman" w:hAnsi="Times New Roman"/>
          <w:b/>
          <w:i w:val="0"/>
          <w:sz w:val="18"/>
        </w:rPr>
        <w:t>XIV. CLINICAL WORKFLOW INTEGRATION</w:t>
      </w:r>
    </w:p>
    <w:p>
      <w:pPr>
        <w:spacing w:before="0" w:after="60"/>
        <w:ind w:firstLine="283"/>
        <w:jc w:val="both"/>
      </w:pPr>
      <w:r>
        <w:rPr>
          <w:rFonts w:ascii="Times New Roman" w:hAnsi="Times New Roman"/>
          <w:b w:val="0"/>
          <w:i w:val="0"/>
          <w:sz w:val="18"/>
        </w:rPr>
        <w:t>A hospital management system is only as useful as its ability to connect the dots between clinical workflows. The HMS models the complete patient journey from registration through discharge, with each step in the journey linked to the previous one through foreign key relationships in the database.</w:t>
      </w:r>
    </w:p>
    <w:p>
      <w:pPr>
        <w:spacing w:before="0" w:after="60"/>
        <w:ind w:firstLine="283"/>
        <w:jc w:val="both"/>
      </w:pPr>
      <w:r>
        <w:rPr>
          <w:rFonts w:ascii="Times New Roman" w:hAnsi="Times New Roman"/>
          <w:b w:val="0"/>
          <w:i w:val="0"/>
          <w:sz w:val="18"/>
        </w:rPr>
        <w:t>The journey begins when a receptionist registers a patient, creating a patients record with a unique Medical Record Number (MRN). The patient can be assigned a bed from the bed matrix, which shows real-time occupancy across all wards. A doctor creates an appointment, which can be in-person, telemedicine, follow-up, or emergency. After the consultation, the doctor creates a medical_record linked to the appointment, which serves as the anchor for all subsequent clinical data: vitals, prescriptions, lab orders, and discharge summaries.</w:t>
      </w:r>
    </w:p>
    <w:p>
      <w:pPr>
        <w:spacing w:before="0" w:after="60"/>
        <w:ind w:firstLine="283"/>
        <w:jc w:val="both"/>
      </w:pPr>
      <w:r>
        <w:rPr>
          <w:rFonts w:ascii="Times New Roman" w:hAnsi="Times New Roman"/>
          <w:b w:val="0"/>
          <w:i w:val="0"/>
          <w:sz w:val="18"/>
        </w:rPr>
        <w:t>The prescription module includes a drug interaction checker that cross-references prescribed medicines against a table of 12 known interactions at four severity levels (MODERATE, HIGH, CONTRAINDICATED, and a general category). While this is a simplified implementation compared to clinical APIs like NLM RxNorm, it demonstrates the pattern and provides a safety net for the most dangerous combinations, including warfarin-aspirin, sildenafil-nitrate (absolutely contraindicated), and serotonin syndrome risks from SSRI-tramadol combinations. An allergy checker cross-references the patient's known allergies against prescribed medicine names.</w:t>
      </w:r>
    </w:p>
    <w:p>
      <w:pPr>
        <w:spacing w:before="0" w:after="60"/>
        <w:ind w:firstLine="283"/>
        <w:jc w:val="both"/>
      </w:pPr>
      <w:r>
        <w:rPr>
          <w:rFonts w:ascii="Times New Roman" w:hAnsi="Times New Roman"/>
          <w:b w:val="0"/>
          <w:i w:val="0"/>
          <w:sz w:val="18"/>
        </w:rPr>
        <w:t>The operating theatre scheduling module links patients, surgeons, anesthetists, and rooms into a single ot_schedules record with conflict detection. The blood bank module tracks individual units by blood group, component type, and expiry date, with status transitions from AVAILABLE through RESERVED to TRANSFUSED or DISCARDED. The discharge summary module creates a structured record linking the patient's entire admission — medical records, prescriptions, lab results — into a single document that can be downloaded as a PDF.</w:t>
      </w:r>
    </w:p>
    <w:p>
      <w:pPr>
        <w:spacing w:before="120" w:after="40"/>
      </w:pPr>
      <w:r>
        <w:rPr>
          <w:rFonts w:ascii="Times New Roman" w:hAnsi="Times New Roman"/>
          <w:b/>
          <w:i w:val="0"/>
          <w:sz w:val="18"/>
        </w:rPr>
        <w:t>XV. COMPARATIVE ANALYSIS</w:t>
      </w:r>
    </w:p>
    <w:p>
      <w:pPr>
        <w:spacing w:before="0" w:after="60"/>
        <w:ind w:firstLine="283"/>
        <w:jc w:val="both"/>
      </w:pPr>
      <w:r>
        <w:rPr>
          <w:rFonts w:ascii="Times New Roman" w:hAnsi="Times New Roman"/>
          <w:b w:val="0"/>
          <w:i w:val="0"/>
          <w:sz w:val="18"/>
        </w:rPr>
        <w:t>To contextualize the HMS's security posture, Table I compares it against five representative systems from the literature and open-source ecosystem: OpenMRS (a widely deployed open-source EMR), OpenEMR (a popular open-source HMS), a HIPAA-compliant telemedicine platform described by Almutairi et al. [5], a blockchain-based EHR system proposed by Azaria et al. [6], and a cloud-based HMS with JWT authentication studied by Kumar et al. [7]. The comparison covers eight security dimensions identified as critical by the OWASP Healthcare Security Guide.</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gridCol w:w="1162"/>
      </w:tblGrid>
      <w:tr>
        <w:tc>
          <w:tcPr>
            <w:tcW w:type="dxa" w:w="1814"/>
          </w:tcPr>
          <w:p>
            <w:pPr>
              <w:jc w:val="center"/>
            </w:pPr>
            <w:r>
              <w:rPr>
                <w:rFonts w:ascii="Times New Roman" w:hAnsi="Times New Roman"/>
                <w:b/>
                <w:sz w:val="14"/>
              </w:rPr>
              <w:t>Feature</w:t>
            </w:r>
          </w:p>
        </w:tc>
        <w:tc>
          <w:tcPr>
            <w:tcW w:type="dxa" w:w="1134"/>
          </w:tcPr>
          <w:p>
            <w:pPr>
              <w:jc w:val="center"/>
            </w:pPr>
            <w:r>
              <w:rPr>
                <w:rFonts w:ascii="Times New Roman" w:hAnsi="Times New Roman"/>
                <w:b/>
                <w:sz w:val="14"/>
              </w:rPr>
              <w:t>HMS (This Work)</w:t>
            </w:r>
          </w:p>
        </w:tc>
        <w:tc>
          <w:tcPr>
            <w:tcW w:type="dxa" w:w="907"/>
          </w:tcPr>
          <w:p>
            <w:pPr>
              <w:jc w:val="center"/>
            </w:pPr>
            <w:r>
              <w:rPr>
                <w:rFonts w:ascii="Times New Roman" w:hAnsi="Times New Roman"/>
                <w:b/>
                <w:sz w:val="14"/>
              </w:rPr>
              <w:t>OpenMRS</w:t>
            </w:r>
          </w:p>
        </w:tc>
        <w:tc>
          <w:tcPr>
            <w:tcW w:type="dxa" w:w="907"/>
          </w:tcPr>
          <w:p>
            <w:pPr>
              <w:jc w:val="center"/>
            </w:pPr>
            <w:r>
              <w:rPr>
                <w:rFonts w:ascii="Times New Roman" w:hAnsi="Times New Roman"/>
                <w:b/>
                <w:sz w:val="14"/>
              </w:rPr>
              <w:t>OpenEMR</w:t>
            </w:r>
          </w:p>
        </w:tc>
        <w:tc>
          <w:tcPr>
            <w:tcW w:type="dxa" w:w="1134"/>
          </w:tcPr>
          <w:p>
            <w:pPr>
              <w:jc w:val="center"/>
            </w:pPr>
            <w:r>
              <w:rPr>
                <w:rFonts w:ascii="Times New Roman" w:hAnsi="Times New Roman"/>
                <w:b/>
                <w:sz w:val="14"/>
              </w:rPr>
              <w:t>Almutairi et al.</w:t>
            </w:r>
          </w:p>
        </w:tc>
        <w:tc>
          <w:tcPr>
            <w:tcW w:type="dxa" w:w="1020"/>
          </w:tcPr>
          <w:p>
            <w:pPr>
              <w:jc w:val="center"/>
            </w:pPr>
            <w:r>
              <w:rPr>
                <w:rFonts w:ascii="Times New Roman" w:hAnsi="Times New Roman"/>
                <w:b/>
                <w:sz w:val="14"/>
              </w:rPr>
              <w:t>Azaria et al.</w:t>
            </w:r>
          </w:p>
        </w:tc>
        <w:tc>
          <w:tcPr>
            <w:tcW w:type="dxa" w:w="1020"/>
          </w:tcPr>
          <w:p>
            <w:pPr>
              <w:jc w:val="center"/>
            </w:pPr>
            <w:r>
              <w:rPr>
                <w:rFonts w:ascii="Times New Roman" w:hAnsi="Times New Roman"/>
                <w:b/>
                <w:sz w:val="14"/>
              </w:rPr>
              <w:t>Kumar et al.</w:t>
            </w:r>
          </w:p>
        </w:tc>
        <w:tc>
          <w:tcPr>
            <w:tcW w:type="dxa" w:w="1020"/>
          </w:tcPr>
          <w:p>
            <w:pPr>
              <w:jc w:val="center"/>
            </w:pPr>
            <w:r>
              <w:rPr>
                <w:rFonts w:ascii="Times New Roman" w:hAnsi="Times New Roman"/>
                <w:b/>
                <w:sz w:val="14"/>
              </w:rPr>
              <w:t>HIPAA Req.</w:t>
            </w:r>
          </w:p>
        </w:tc>
        <w:tc>
          <w:tcPr>
            <w:tcW w:type="dxa" w:w="907"/>
          </w:tcPr>
          <w:p>
            <w:pPr>
              <w:jc w:val="center"/>
            </w:pPr>
            <w:r>
              <w:rPr>
                <w:rFonts w:ascii="Times New Roman" w:hAnsi="Times New Roman"/>
                <w:b/>
                <w:sz w:val="14"/>
              </w:rPr>
              <w:t>GDPR Req.</w:t>
            </w:r>
          </w:p>
        </w:tc>
      </w:tr>
      <w:tr>
        <w:tc>
          <w:tcPr>
            <w:tcW w:type="dxa" w:w="1162"/>
          </w:tcPr>
          <w:p>
            <w:pPr>
              <w:jc w:val="center"/>
            </w:pPr>
            <w:r>
              <w:rPr>
                <w:rFonts w:ascii="Times New Roman" w:hAnsi="Times New Roman"/>
                <w:sz w:val="14"/>
              </w:rPr>
              <w:t>Asymmetric JWT (RS256)</w:t>
            </w:r>
          </w:p>
        </w:tc>
        <w:tc>
          <w:tcPr>
            <w:tcW w:type="dxa" w:w="1162"/>
          </w:tcPr>
          <w:p>
            <w:pPr>
              <w:jc w:val="center"/>
            </w:pPr>
            <w:r>
              <w:rPr>
                <w:rFonts w:ascii="Times New Roman" w:hAnsi="Times New Roman"/>
                <w:b/>
                <w:sz w:val="14"/>
              </w:rPr>
              <w:t>Yes</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Yes</w:t>
            </w:r>
          </w:p>
        </w:tc>
        <w:tc>
          <w:tcPr>
            <w:tcW w:type="dxa" w:w="1162"/>
          </w:tcPr>
          <w:p>
            <w:pPr>
              <w:jc w:val="center"/>
            </w:pPr>
            <w:r>
              <w:rPr>
                <w:rFonts w:ascii="Times New Roman" w:hAnsi="Times New Roman"/>
                <w:sz w:val="14"/>
              </w:rPr>
              <w:t>N/A</w:t>
            </w:r>
          </w:p>
        </w:tc>
        <w:tc>
          <w:tcPr>
            <w:tcW w:type="dxa" w:w="1162"/>
          </w:tcPr>
          <w:p>
            <w:pPr>
              <w:jc w:val="center"/>
            </w:pPr>
            <w:r>
              <w:rPr>
                <w:rFonts w:ascii="Times New Roman" w:hAnsi="Times New Roman"/>
                <w:sz w:val="14"/>
              </w:rPr>
              <w:t>Yes</w:t>
            </w:r>
          </w:p>
        </w:tc>
        <w:tc>
          <w:tcPr>
            <w:tcW w:type="dxa" w:w="1162"/>
          </w:tcPr>
          <w:p>
            <w:pPr>
              <w:jc w:val="center"/>
            </w:pPr>
            <w:r>
              <w:rPr>
                <w:rFonts w:ascii="Times New Roman" w:hAnsi="Times New Roman"/>
                <w:sz w:val="14"/>
              </w:rPr>
              <w:t>Required</w:t>
            </w:r>
          </w:p>
        </w:tc>
        <w:tc>
          <w:tcPr>
            <w:tcW w:type="dxa" w:w="1162"/>
          </w:tcPr>
          <w:p>
            <w:pPr>
              <w:jc w:val="center"/>
            </w:pPr>
            <w:r>
              <w:rPr>
                <w:rFonts w:ascii="Times New Roman" w:hAnsi="Times New Roman"/>
                <w:sz w:val="14"/>
              </w:rPr>
              <w:t>Recommended</w:t>
            </w:r>
          </w:p>
        </w:tc>
      </w:tr>
      <w:tr>
        <w:tc>
          <w:tcPr>
            <w:tcW w:type="dxa" w:w="1162"/>
          </w:tcPr>
          <w:p>
            <w:pPr>
              <w:jc w:val="center"/>
            </w:pPr>
            <w:r>
              <w:rPr>
                <w:rFonts w:ascii="Times New Roman" w:hAnsi="Times New Roman"/>
                <w:sz w:val="14"/>
              </w:rPr>
              <w:t>Argon2id / bcrypt hashing</w:t>
            </w:r>
          </w:p>
        </w:tc>
        <w:tc>
          <w:tcPr>
            <w:tcW w:type="dxa" w:w="1162"/>
          </w:tcPr>
          <w:p>
            <w:pPr>
              <w:jc w:val="center"/>
            </w:pPr>
            <w:r>
              <w:rPr>
                <w:rFonts w:ascii="Times New Roman" w:hAnsi="Times New Roman"/>
                <w:b/>
                <w:sz w:val="14"/>
              </w:rPr>
              <w:t>Argon2id</w:t>
            </w:r>
          </w:p>
        </w:tc>
        <w:tc>
          <w:tcPr>
            <w:tcW w:type="dxa" w:w="1162"/>
          </w:tcPr>
          <w:p>
            <w:pPr>
              <w:jc w:val="center"/>
            </w:pPr>
            <w:r>
              <w:rPr>
                <w:rFonts w:ascii="Times New Roman" w:hAnsi="Times New Roman"/>
                <w:sz w:val="14"/>
              </w:rPr>
              <w:t>bcrypt</w:t>
            </w:r>
          </w:p>
        </w:tc>
        <w:tc>
          <w:tcPr>
            <w:tcW w:type="dxa" w:w="1162"/>
          </w:tcPr>
          <w:p>
            <w:pPr>
              <w:jc w:val="center"/>
            </w:pPr>
            <w:r>
              <w:rPr>
                <w:rFonts w:ascii="Times New Roman" w:hAnsi="Times New Roman"/>
                <w:sz w:val="14"/>
              </w:rPr>
              <w:t>bcrypt</w:t>
            </w:r>
          </w:p>
        </w:tc>
        <w:tc>
          <w:tcPr>
            <w:tcW w:type="dxa" w:w="1162"/>
          </w:tcPr>
          <w:p>
            <w:pPr>
              <w:jc w:val="center"/>
            </w:pPr>
            <w:r>
              <w:rPr>
                <w:rFonts w:ascii="Times New Roman" w:hAnsi="Times New Roman"/>
                <w:sz w:val="14"/>
              </w:rPr>
              <w:t>bcrypt</w:t>
            </w:r>
          </w:p>
        </w:tc>
        <w:tc>
          <w:tcPr>
            <w:tcW w:type="dxa" w:w="1162"/>
          </w:tcPr>
          <w:p>
            <w:pPr>
              <w:jc w:val="center"/>
            </w:pPr>
            <w:r>
              <w:rPr>
                <w:rFonts w:ascii="Times New Roman" w:hAnsi="Times New Roman"/>
                <w:sz w:val="14"/>
              </w:rPr>
              <w:t>N/A</w:t>
            </w:r>
          </w:p>
        </w:tc>
        <w:tc>
          <w:tcPr>
            <w:tcW w:type="dxa" w:w="1162"/>
          </w:tcPr>
          <w:p>
            <w:pPr>
              <w:jc w:val="center"/>
            </w:pPr>
            <w:r>
              <w:rPr>
                <w:rFonts w:ascii="Times New Roman" w:hAnsi="Times New Roman"/>
                <w:sz w:val="14"/>
              </w:rPr>
              <w:t>bcrypt</w:t>
            </w:r>
          </w:p>
        </w:tc>
        <w:tc>
          <w:tcPr>
            <w:tcW w:type="dxa" w:w="1162"/>
          </w:tcPr>
          <w:p>
            <w:pPr>
              <w:jc w:val="center"/>
            </w:pPr>
            <w:r>
              <w:rPr>
                <w:rFonts w:ascii="Times New Roman" w:hAnsi="Times New Roman"/>
                <w:sz w:val="14"/>
              </w:rPr>
              <w:t>Required</w:t>
            </w:r>
          </w:p>
        </w:tc>
        <w:tc>
          <w:tcPr>
            <w:tcW w:type="dxa" w:w="1162"/>
          </w:tcPr>
          <w:p>
            <w:pPr>
              <w:jc w:val="center"/>
            </w:pPr>
            <w:r>
              <w:rPr>
                <w:rFonts w:ascii="Times New Roman" w:hAnsi="Times New Roman"/>
                <w:sz w:val="14"/>
              </w:rPr>
              <w:t>Required</w:t>
            </w:r>
          </w:p>
        </w:tc>
      </w:tr>
      <w:tr>
        <w:tc>
          <w:tcPr>
            <w:tcW w:type="dxa" w:w="1162"/>
          </w:tcPr>
          <w:p>
            <w:pPr>
              <w:jc w:val="center"/>
            </w:pPr>
            <w:r>
              <w:rPr>
                <w:rFonts w:ascii="Times New Roman" w:hAnsi="Times New Roman"/>
                <w:sz w:val="14"/>
              </w:rPr>
              <w:t>Field-level DB encryption</w:t>
            </w:r>
          </w:p>
        </w:tc>
        <w:tc>
          <w:tcPr>
            <w:tcW w:type="dxa" w:w="1162"/>
          </w:tcPr>
          <w:p>
            <w:pPr>
              <w:jc w:val="center"/>
            </w:pPr>
            <w:r>
              <w:rPr>
                <w:rFonts w:ascii="Times New Roman" w:hAnsi="Times New Roman"/>
                <w:b/>
                <w:sz w:val="14"/>
              </w:rPr>
              <w:t>pgcrypto AES</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Partial</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Blockchain</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Required</w:t>
            </w:r>
          </w:p>
        </w:tc>
        <w:tc>
          <w:tcPr>
            <w:tcW w:type="dxa" w:w="1162"/>
          </w:tcPr>
          <w:p>
            <w:pPr>
              <w:jc w:val="center"/>
            </w:pPr>
            <w:r>
              <w:rPr>
                <w:rFonts w:ascii="Times New Roman" w:hAnsi="Times New Roman"/>
                <w:sz w:val="14"/>
              </w:rPr>
              <w:t>Required</w:t>
            </w:r>
          </w:p>
        </w:tc>
      </w:tr>
      <w:tr>
        <w:tc>
          <w:tcPr>
            <w:tcW w:type="dxa" w:w="1162"/>
          </w:tcPr>
          <w:p>
            <w:pPr>
              <w:jc w:val="center"/>
            </w:pPr>
            <w:r>
              <w:rPr>
                <w:rFonts w:ascii="Times New Roman" w:hAnsi="Times New Roman"/>
                <w:sz w:val="14"/>
              </w:rPr>
              <w:t>Client-side file encryption</w:t>
            </w:r>
          </w:p>
        </w:tc>
        <w:tc>
          <w:tcPr>
            <w:tcW w:type="dxa" w:w="1162"/>
          </w:tcPr>
          <w:p>
            <w:pPr>
              <w:jc w:val="center"/>
            </w:pPr>
            <w:r>
              <w:rPr>
                <w:rFonts w:ascii="Times New Roman" w:hAnsi="Times New Roman"/>
                <w:b/>
                <w:sz w:val="14"/>
              </w:rPr>
              <w:t>AES-256-GCM</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Recommended</w:t>
            </w:r>
          </w:p>
        </w:tc>
        <w:tc>
          <w:tcPr>
            <w:tcW w:type="dxa" w:w="1162"/>
          </w:tcPr>
          <w:p>
            <w:pPr>
              <w:jc w:val="center"/>
            </w:pPr>
            <w:r>
              <w:rPr>
                <w:rFonts w:ascii="Times New Roman" w:hAnsi="Times New Roman"/>
                <w:sz w:val="14"/>
              </w:rPr>
              <w:t>Recommended</w:t>
            </w:r>
          </w:p>
        </w:tc>
      </w:tr>
      <w:tr>
        <w:tc>
          <w:tcPr>
            <w:tcW w:type="dxa" w:w="1162"/>
          </w:tcPr>
          <w:p>
            <w:pPr>
              <w:jc w:val="center"/>
            </w:pPr>
            <w:r>
              <w:rPr>
                <w:rFonts w:ascii="Times New Roman" w:hAnsi="Times New Roman"/>
                <w:sz w:val="14"/>
              </w:rPr>
              <w:t>Tamper-evident audit log</w:t>
            </w:r>
          </w:p>
        </w:tc>
        <w:tc>
          <w:tcPr>
            <w:tcW w:type="dxa" w:w="1162"/>
          </w:tcPr>
          <w:p>
            <w:pPr>
              <w:jc w:val="center"/>
            </w:pPr>
            <w:r>
              <w:rPr>
                <w:rFonts w:ascii="Times New Roman" w:hAnsi="Times New Roman"/>
                <w:b/>
                <w:sz w:val="14"/>
              </w:rPr>
              <w:t>Hash chain</w:t>
            </w:r>
          </w:p>
        </w:tc>
        <w:tc>
          <w:tcPr>
            <w:tcW w:type="dxa" w:w="1162"/>
          </w:tcPr>
          <w:p>
            <w:pPr>
              <w:jc w:val="center"/>
            </w:pPr>
            <w:r>
              <w:rPr>
                <w:rFonts w:ascii="Times New Roman" w:hAnsi="Times New Roman"/>
                <w:sz w:val="14"/>
              </w:rPr>
              <w:t>Basic log</w:t>
            </w:r>
          </w:p>
        </w:tc>
        <w:tc>
          <w:tcPr>
            <w:tcW w:type="dxa" w:w="1162"/>
          </w:tcPr>
          <w:p>
            <w:pPr>
              <w:jc w:val="center"/>
            </w:pPr>
            <w:r>
              <w:rPr>
                <w:rFonts w:ascii="Times New Roman" w:hAnsi="Times New Roman"/>
                <w:sz w:val="14"/>
              </w:rPr>
              <w:t>Basic log</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Blockchain</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Required</w:t>
            </w:r>
          </w:p>
        </w:tc>
        <w:tc>
          <w:tcPr>
            <w:tcW w:type="dxa" w:w="1162"/>
          </w:tcPr>
          <w:p>
            <w:pPr>
              <w:jc w:val="center"/>
            </w:pPr>
            <w:r>
              <w:rPr>
                <w:rFonts w:ascii="Times New Roman" w:hAnsi="Times New Roman"/>
                <w:sz w:val="14"/>
              </w:rPr>
              <w:t>Required</w:t>
            </w:r>
          </w:p>
        </w:tc>
      </w:tr>
      <w:tr>
        <w:tc>
          <w:tcPr>
            <w:tcW w:type="dxa" w:w="1162"/>
          </w:tcPr>
          <w:p>
            <w:pPr>
              <w:jc w:val="center"/>
            </w:pPr>
            <w:r>
              <w:rPr>
                <w:rFonts w:ascii="Times New Roman" w:hAnsi="Times New Roman"/>
                <w:sz w:val="14"/>
              </w:rPr>
              <w:t>RBAC roles</w:t>
            </w:r>
          </w:p>
        </w:tc>
        <w:tc>
          <w:tcPr>
            <w:tcW w:type="dxa" w:w="1162"/>
          </w:tcPr>
          <w:p>
            <w:pPr>
              <w:jc w:val="center"/>
            </w:pPr>
            <w:r>
              <w:rPr>
                <w:rFonts w:ascii="Times New Roman" w:hAnsi="Times New Roman"/>
                <w:b/>
                <w:sz w:val="14"/>
              </w:rPr>
              <w:t>19 roles</w:t>
            </w:r>
          </w:p>
        </w:tc>
        <w:tc>
          <w:tcPr>
            <w:tcW w:type="dxa" w:w="1162"/>
          </w:tcPr>
          <w:p>
            <w:pPr>
              <w:jc w:val="center"/>
            </w:pPr>
            <w:r>
              <w:rPr>
                <w:rFonts w:ascii="Times New Roman" w:hAnsi="Times New Roman"/>
                <w:sz w:val="14"/>
              </w:rPr>
              <w:t>Many</w:t>
            </w:r>
          </w:p>
        </w:tc>
        <w:tc>
          <w:tcPr>
            <w:tcW w:type="dxa" w:w="1162"/>
          </w:tcPr>
          <w:p>
            <w:pPr>
              <w:jc w:val="center"/>
            </w:pPr>
            <w:r>
              <w:rPr>
                <w:rFonts w:ascii="Times New Roman" w:hAnsi="Times New Roman"/>
                <w:sz w:val="14"/>
              </w:rPr>
              <w:t>Many</w:t>
            </w:r>
          </w:p>
        </w:tc>
        <w:tc>
          <w:tcPr>
            <w:tcW w:type="dxa" w:w="1162"/>
          </w:tcPr>
          <w:p>
            <w:pPr>
              <w:jc w:val="center"/>
            </w:pPr>
            <w:r>
              <w:rPr>
                <w:rFonts w:ascii="Times New Roman" w:hAnsi="Times New Roman"/>
                <w:sz w:val="14"/>
              </w:rPr>
              <w:t>3 roles</w:t>
            </w:r>
          </w:p>
        </w:tc>
        <w:tc>
          <w:tcPr>
            <w:tcW w:type="dxa" w:w="1162"/>
          </w:tcPr>
          <w:p>
            <w:pPr>
              <w:jc w:val="center"/>
            </w:pPr>
            <w:r>
              <w:rPr>
                <w:rFonts w:ascii="Times New Roman" w:hAnsi="Times New Roman"/>
                <w:sz w:val="14"/>
              </w:rPr>
              <w:t>N/A</w:t>
            </w:r>
          </w:p>
        </w:tc>
        <w:tc>
          <w:tcPr>
            <w:tcW w:type="dxa" w:w="1162"/>
          </w:tcPr>
          <w:p>
            <w:pPr>
              <w:jc w:val="center"/>
            </w:pPr>
            <w:r>
              <w:rPr>
                <w:rFonts w:ascii="Times New Roman" w:hAnsi="Times New Roman"/>
                <w:sz w:val="14"/>
              </w:rPr>
              <w:t>5 roles</w:t>
            </w:r>
          </w:p>
        </w:tc>
        <w:tc>
          <w:tcPr>
            <w:tcW w:type="dxa" w:w="1162"/>
          </w:tcPr>
          <w:p>
            <w:pPr>
              <w:jc w:val="center"/>
            </w:pPr>
            <w:r>
              <w:rPr>
                <w:rFonts w:ascii="Times New Roman" w:hAnsi="Times New Roman"/>
                <w:sz w:val="14"/>
              </w:rPr>
              <w:t>Required</w:t>
            </w:r>
          </w:p>
        </w:tc>
        <w:tc>
          <w:tcPr>
            <w:tcW w:type="dxa" w:w="1162"/>
          </w:tcPr>
          <w:p>
            <w:pPr>
              <w:jc w:val="center"/>
            </w:pPr>
            <w:r>
              <w:rPr>
                <w:rFonts w:ascii="Times New Roman" w:hAnsi="Times New Roman"/>
                <w:sz w:val="14"/>
              </w:rPr>
              <w:t>Required</w:t>
            </w:r>
          </w:p>
        </w:tc>
      </w:tr>
      <w:tr>
        <w:tc>
          <w:tcPr>
            <w:tcW w:type="dxa" w:w="1162"/>
          </w:tcPr>
          <w:p>
            <w:pPr>
              <w:jc w:val="center"/>
            </w:pPr>
            <w:r>
              <w:rPr>
                <w:rFonts w:ascii="Times New Roman" w:hAnsi="Times New Roman"/>
                <w:sz w:val="14"/>
              </w:rPr>
              <w:t>Real-time WebRTC tele.</w:t>
            </w:r>
          </w:p>
        </w:tc>
        <w:tc>
          <w:tcPr>
            <w:tcW w:type="dxa" w:w="1162"/>
          </w:tcPr>
          <w:p>
            <w:pPr>
              <w:jc w:val="center"/>
            </w:pPr>
            <w:r>
              <w:rPr>
                <w:rFonts w:ascii="Times New Roman" w:hAnsi="Times New Roman"/>
                <w:b/>
                <w:sz w:val="14"/>
              </w:rPr>
              <w:t>Yes (P2P)</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Yes</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N/A</w:t>
            </w:r>
          </w:p>
        </w:tc>
        <w:tc>
          <w:tcPr>
            <w:tcW w:type="dxa" w:w="1162"/>
          </w:tcPr>
          <w:p>
            <w:pPr>
              <w:jc w:val="center"/>
            </w:pPr>
            <w:r>
              <w:rPr>
                <w:rFonts w:ascii="Times New Roman" w:hAnsi="Times New Roman"/>
                <w:sz w:val="14"/>
              </w:rPr>
              <w:t>N/A</w:t>
            </w:r>
          </w:p>
        </w:tc>
      </w:tr>
      <w:tr>
        <w:tc>
          <w:tcPr>
            <w:tcW w:type="dxa" w:w="1162"/>
          </w:tcPr>
          <w:p>
            <w:pPr>
              <w:jc w:val="center"/>
            </w:pPr>
            <w:r>
              <w:rPr>
                <w:rFonts w:ascii="Times New Roman" w:hAnsi="Times New Roman"/>
                <w:sz w:val="14"/>
              </w:rPr>
              <w:t>Offline PWA support</w:t>
            </w:r>
          </w:p>
        </w:tc>
        <w:tc>
          <w:tcPr>
            <w:tcW w:type="dxa" w:w="1162"/>
          </w:tcPr>
          <w:p>
            <w:pPr>
              <w:jc w:val="center"/>
            </w:pPr>
            <w:r>
              <w:rPr>
                <w:rFonts w:ascii="Times New Roman" w:hAnsi="Times New Roman"/>
                <w:b/>
                <w:sz w:val="14"/>
              </w:rPr>
              <w:t>Yes (SW+IDB)</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N/A</w:t>
            </w:r>
          </w:p>
        </w:tc>
        <w:tc>
          <w:tcPr>
            <w:tcW w:type="dxa" w:w="1162"/>
          </w:tcPr>
          <w:p>
            <w:pPr>
              <w:jc w:val="center"/>
            </w:pPr>
            <w:r>
              <w:rPr>
                <w:rFonts w:ascii="Times New Roman" w:hAnsi="Times New Roman"/>
                <w:sz w:val="14"/>
              </w:rPr>
              <w:t>N/A</w:t>
            </w:r>
          </w:p>
        </w:tc>
      </w:tr>
      <w:tr>
        <w:tc>
          <w:tcPr>
            <w:tcW w:type="dxa" w:w="1162"/>
          </w:tcPr>
          <w:p>
            <w:pPr>
              <w:jc w:val="center"/>
            </w:pPr>
            <w:r>
              <w:rPr>
                <w:rFonts w:ascii="Times New Roman" w:hAnsi="Times New Roman"/>
                <w:sz w:val="14"/>
              </w:rPr>
              <w:t>AI chatbot</w:t>
            </w:r>
          </w:p>
        </w:tc>
        <w:tc>
          <w:tcPr>
            <w:tcW w:type="dxa" w:w="1162"/>
          </w:tcPr>
          <w:p>
            <w:pPr>
              <w:jc w:val="center"/>
            </w:pPr>
            <w:r>
              <w:rPr>
                <w:rFonts w:ascii="Times New Roman" w:hAnsi="Times New Roman"/>
                <w:b/>
                <w:sz w:val="14"/>
              </w:rPr>
              <w:t>Gemini/Ollama</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No</w:t>
            </w:r>
          </w:p>
        </w:tc>
        <w:tc>
          <w:tcPr>
            <w:tcW w:type="dxa" w:w="1162"/>
          </w:tcPr>
          <w:p>
            <w:pPr>
              <w:jc w:val="center"/>
            </w:pPr>
            <w:r>
              <w:rPr>
                <w:rFonts w:ascii="Times New Roman" w:hAnsi="Times New Roman"/>
                <w:sz w:val="14"/>
              </w:rPr>
              <w:t>N/A</w:t>
            </w:r>
          </w:p>
        </w:tc>
        <w:tc>
          <w:tcPr>
            <w:tcW w:type="dxa" w:w="1162"/>
          </w:tcPr>
          <w:p>
            <w:pPr>
              <w:jc w:val="center"/>
            </w:pPr>
            <w:r>
              <w:rPr>
                <w:rFonts w:ascii="Times New Roman" w:hAnsi="Times New Roman"/>
                <w:sz w:val="14"/>
              </w:rPr>
              <w:t>N/A</w:t>
            </w:r>
          </w:p>
        </w:tc>
      </w:tr>
    </w:tbl>
    <w:p>
      <w:pPr>
        <w:spacing w:before="60" w:after="120"/>
        <w:jc w:val="center"/>
      </w:pPr>
      <w:r>
        <w:rPr>
          <w:rFonts w:ascii="Times New Roman" w:hAnsi="Times New Roman"/>
          <w:b/>
          <w:sz w:val="16"/>
        </w:rPr>
        <w:t>TABLE I. COMPARATIVE SECURITY FEATURE ANALYSIS</w:t>
      </w:r>
    </w:p>
    <w:p>
      <w:pPr>
        <w:spacing w:before="0" w:after="60"/>
        <w:ind w:firstLine="283"/>
        <w:jc w:val="both"/>
      </w:pPr>
      <w:r>
        <w:rPr>
          <w:rFonts w:ascii="Times New Roman" w:hAnsi="Times New Roman"/>
          <w:b w:val="0"/>
          <w:i w:val="0"/>
          <w:sz w:val="18"/>
        </w:rPr>
        <w:t>The comparison reveals that the HMS's most distinctive contributions relative to existing systems are its combination of client-side file encryption, a hash-chain audit log, and WebRTC telemedicine in a single integrated platform. OpenMRS and OpenEMR, while mature and widely deployed, do not implement client-side encryption or tamper-evident audit logs. The blockchain-based approach of Azaria et al. achieves tamper evidence through distributed consensus but does not address real-time communication or offline operation. The HMS is the only system in the comparison that implements all eight features simultaneously.</w:t>
      </w:r>
    </w:p>
    <w:p>
      <w:pPr>
        <w:spacing w:before="120" w:after="40"/>
      </w:pPr>
      <w:r>
        <w:rPr>
          <w:rFonts w:ascii="Times New Roman" w:hAnsi="Times New Roman"/>
          <w:b/>
          <w:i w:val="0"/>
          <w:sz w:val="18"/>
        </w:rPr>
        <w:t>XVI. EVALUATION AND TESTING RESULTS</w:t>
      </w:r>
    </w:p>
    <w:p>
      <w:pPr>
        <w:spacing w:before="0" w:after="60"/>
        <w:ind w:firstLine="283"/>
        <w:jc w:val="both"/>
      </w:pPr>
      <w:r>
        <w:rPr>
          <w:rFonts w:ascii="Times New Roman" w:hAnsi="Times New Roman"/>
          <w:b w:val="0"/>
          <w:i w:val="0"/>
          <w:sz w:val="18"/>
        </w:rPr>
        <w:t>The evaluation of the HMS was conducted through static code analysis, architectural review, and functional verification of security mechanisms. The analysis examined 187 source files totaling approximately 32,000 lines of code across the frontend, backend, database schema, and infrastructure configuration.</w:t>
      </w:r>
    </w:p>
    <w:p>
      <w:pPr>
        <w:spacing w:before="0" w:after="60"/>
        <w:ind w:firstLine="283"/>
        <w:jc w:val="both"/>
      </w:pPr>
      <w:r>
        <w:rPr>
          <w:rFonts w:ascii="Times New Roman" w:hAnsi="Times New Roman"/>
          <w:b w:val="0"/>
          <w:i w:val="0"/>
          <w:sz w:val="18"/>
        </w:rPr>
        <w:t>Authentication security was verified by tracing the complete login flow from the client's POST /api/auth/login request through the rate limiter, Argon2id verification, Redis lockout counter, session creation, and JWT issuance. The RS256 signing was confirmed by examining the key loading code in auth.service.js, which reads the private key from a file path specified in an environment variable — never from a hardcoded string. The refresh token rotation was verified: each call to POST /api/auth/refresh deletes the old token from Redis before issuing a new one, preventing token reuse attacks.</w:t>
      </w:r>
    </w:p>
    <w:p>
      <w:pPr>
        <w:spacing w:before="0" w:after="60"/>
        <w:ind w:firstLine="283"/>
        <w:jc w:val="both"/>
      </w:pPr>
      <w:r>
        <w:rPr>
          <w:rFonts w:ascii="Times New Roman" w:hAnsi="Times New Roman"/>
          <w:b w:val="0"/>
          <w:i w:val="0"/>
          <w:sz w:val="18"/>
        </w:rPr>
        <w:t>The RBAC system was verified by examining the route definitions for all 52 API endpoint groups. Every protected route was confirmed to have both authenticate() and authorize() middleware applied. The ownership middleware was verified for five entity types: patient records, prescriptions, bills, medical records, and lab results. The hash chain audit log was verified by examining the advisory lock acquisition, hash computation, and chain linkage in audit.js.</w:t>
      </w:r>
    </w:p>
    <w:p>
      <w:pPr>
        <w:spacing w:before="0" w:after="60"/>
        <w:ind w:firstLine="283"/>
        <w:jc w:val="both"/>
      </w:pPr>
      <w:r>
        <w:rPr>
          <w:rFonts w:ascii="Times New Roman" w:hAnsi="Times New Roman"/>
          <w:b w:val="0"/>
          <w:i w:val="0"/>
          <w:sz w:val="18"/>
        </w:rPr>
        <w:t>The encryption implementation was verified by tracing the AES-256-GCM key derivation in crypto.js (PBKDF2-SHA256, 310,000 iterations), the file encryption flow in EncryptedFileUpload.jsx (client-side encrypt before XHR), and the pgcrypto field encryption in pgcrypto.js (pgp_sym_encrypt with environment key). The CSRF protection was verified by confirming that the doubleCsrfProtection middleware is applied to all non-GET requests and that the cookie uses the __Host- prefix in production mode.</w:t>
      </w:r>
    </w:p>
    <w:p>
      <w:pPr>
        <w:spacing w:before="0" w:after="60"/>
        <w:ind w:firstLine="283"/>
        <w:jc w:val="both"/>
      </w:pPr>
      <w:r>
        <w:rPr>
          <w:rFonts w:ascii="Times New Roman" w:hAnsi="Times New Roman"/>
          <w:b w:val="0"/>
          <w:i w:val="0"/>
          <w:sz w:val="18"/>
        </w:rPr>
        <w:t>The telemedicine module was verified by tracing the room token generation (HMAC-SHA256 with timing-safe comparison), participant validation (database query confirming doctor/patient relationship), and time-window enforcement (5-minute early entry, 30-minute grace period). The WebRTC implementation was verified to use the perfect negotiation pattern with correct polite/impolite peer assignment. The PWA background sync was verified by examining the service worker's fetch event handler for POST /vitals and the IndexedDB queue implementation.</w:t>
      </w:r>
    </w:p>
    <w:p>
      <w:pPr>
        <w:spacing w:before="120" w:after="40"/>
      </w:pPr>
      <w:r>
        <w:rPr>
          <w:rFonts w:ascii="Times New Roman" w:hAnsi="Times New Roman"/>
          <w:b/>
          <w:i w:val="0"/>
          <w:sz w:val="18"/>
        </w:rPr>
        <w:t>XVII. LIMITATIONS AND FUTURE WORK</w:t>
      </w:r>
    </w:p>
    <w:p>
      <w:pPr>
        <w:spacing w:before="0" w:after="60"/>
        <w:ind w:firstLine="283"/>
        <w:jc w:val="both"/>
      </w:pPr>
      <w:r>
        <w:rPr>
          <w:rFonts w:ascii="Times New Roman" w:hAnsi="Times New Roman"/>
          <w:b w:val="0"/>
          <w:i w:val="0"/>
          <w:sz w:val="18"/>
        </w:rPr>
        <w:t>The audit report identified nine specific limitations in the current implementation. These are documented here not as failures but as an honest roadmap for future development. Acknowledging limitations is a sign of engineering maturity.</w:t>
      </w:r>
    </w:p>
    <w:p>
      <w:pPr>
        <w:spacing w:before="0" w:after="60"/>
        <w:ind w:firstLine="283"/>
        <w:jc w:val="both"/>
      </w:pPr>
      <w:r>
        <w:rPr>
          <w:rFonts w:ascii="Times New Roman" w:hAnsi="Times New Roman"/>
          <w:b w:val="0"/>
          <w:i w:val="0"/>
          <w:sz w:val="18"/>
        </w:rPr>
        <w:t>The most significant security limitation is the storage of group message encryption keys in plaintext in the message_group_keys database table. The migration file itself acknowledges this: 'In a zero-trust system you would wrap this with each user's public key.' In the current design, a database administrator with access to the key table can decrypt all group messages. The fix is to implement envelope encryption: encrypt each group key with each member's public key, so only the intended recipient can decrypt it.</w:t>
      </w:r>
    </w:p>
    <w:p>
      <w:pPr>
        <w:spacing w:before="0" w:after="60"/>
        <w:ind w:firstLine="283"/>
        <w:jc w:val="both"/>
      </w:pPr>
      <w:r>
        <w:rPr>
          <w:rFonts w:ascii="Times New Roman" w:hAnsi="Times New Roman"/>
          <w:b w:val="0"/>
          <w:i w:val="0"/>
          <w:sz w:val="18"/>
        </w:rPr>
        <w:t>The second limitation is the incomplete telemedicine chat encryption. The TeleRoom.jsx component sends an empty string as the IV parameter when emitting tele:chat events, meaning the in-call chat messages are transmitted as plaintext ciphertext labels rather than genuinely encrypted content. This should be fixed by generating a proper random IV for each message using crypto.getRandomValues().</w:t>
      </w:r>
    </w:p>
    <w:p>
      <w:pPr>
        <w:spacing w:before="0" w:after="60"/>
        <w:ind w:firstLine="283"/>
        <w:jc w:val="both"/>
      </w:pPr>
      <w:r>
        <w:rPr>
          <w:rFonts w:ascii="Times New Roman" w:hAnsi="Times New Roman"/>
          <w:b w:val="0"/>
          <w:i w:val="0"/>
          <w:sz w:val="18"/>
        </w:rPr>
        <w:t>The third limitation is the use of Math.random() for group key generation in messaging.service.js, which is not cryptographically secure. This should be replaced with crypto.randomBytes() (Node.js) or crypto.getRandomValues() (browser). The fourth limitation is the absence of a TURN server for WebRTC, which means telemedicine calls may fail in networks with symmetric NAT. The fifth limitation is the payroll module, which has a database schema and migration but no service layer or API routes.</w:t>
      </w:r>
    </w:p>
    <w:p>
      <w:pPr>
        <w:spacing w:before="0" w:after="60"/>
        <w:ind w:firstLine="283"/>
        <w:jc w:val="both"/>
      </w:pPr>
      <w:r>
        <w:rPr>
          <w:rFonts w:ascii="Times New Roman" w:hAnsi="Times New Roman"/>
          <w:b w:val="0"/>
          <w:i w:val="0"/>
          <w:sz w:val="18"/>
        </w:rPr>
        <w:t>Future work should address these gaps in priority order: (1) implement envelope encryption for group message keys; (2) fix the telemedicine chat IV; (3) replace Math.random() with crypto.randomBytes(); (4) add a TURN server (e.g., coturn) to the Docker Compose configuration; (5) implement the payroll service; (6) add formal breach notification workflows for DPDP 2023 compliance; (7) integrate a clinical drug interaction API (e.g., NLM RxNorm) to replace the hardcoded interaction table; and (8) implement a proper key management service (KMS) for file encryption keys rather than storing them in sessionStorage.</w:t>
      </w:r>
    </w:p>
    <w:p>
      <w:pPr>
        <w:spacing w:before="120" w:after="40"/>
      </w:pPr>
      <w:r>
        <w:rPr>
          <w:rFonts w:ascii="Times New Roman" w:hAnsi="Times New Roman"/>
          <w:b/>
          <w:i w:val="0"/>
          <w:sz w:val="18"/>
        </w:rPr>
        <w:t>XVIII. CONCLUSION</w:t>
      </w:r>
    </w:p>
    <w:p>
      <w:pPr>
        <w:spacing w:before="0" w:after="60"/>
        <w:ind w:firstLine="283"/>
        <w:jc w:val="both"/>
      </w:pPr>
      <w:r>
        <w:rPr>
          <w:rFonts w:ascii="Times New Roman" w:hAnsi="Times New Roman"/>
          <w:b w:val="0"/>
          <w:i w:val="0"/>
          <w:sz w:val="18"/>
        </w:rPr>
        <w:t>This paper has presented a comprehensive security and architecture survey of the City General Hospital HMS, a full-stack hospital management system comprising 187 source files, 41 database models, and 52 API endpoint groups. The survey examined every source file in the repository and produced a structured audit report covering 17 functional modules and nine security domains.</w:t>
      </w:r>
    </w:p>
    <w:p>
      <w:pPr>
        <w:spacing w:before="0" w:after="60"/>
        <w:ind w:firstLine="283"/>
        <w:jc w:val="both"/>
      </w:pPr>
      <w:r>
        <w:rPr>
          <w:rFonts w:ascii="Times New Roman" w:hAnsi="Times New Roman"/>
          <w:b w:val="0"/>
          <w:i w:val="0"/>
          <w:sz w:val="18"/>
        </w:rPr>
        <w:t>The system demonstrates that a college-level project can achieve a security posture that meaningfully engages with production-grade requirements. The combination of RS256 asymmetric JWT authentication, Argon2id password hashing, 19-role RBAC, multi-layer AES-256-GCM encryption, a SHA-256 hash-chain audit log, WebRTC telemedicine with HMAC-signed room tokens, Redis-backed sliding-window rate limiting, double-submit CSRF protection, and a Progressive Web App with background sync represents a coherent and well-reasoned security architecture.</w:t>
      </w:r>
    </w:p>
    <w:p>
      <w:pPr>
        <w:spacing w:before="0" w:after="60"/>
        <w:ind w:firstLine="283"/>
        <w:jc w:val="both"/>
      </w:pPr>
      <w:r>
        <w:rPr>
          <w:rFonts w:ascii="Times New Roman" w:hAnsi="Times New Roman"/>
          <w:b w:val="0"/>
          <w:i w:val="0"/>
          <w:sz w:val="18"/>
        </w:rPr>
        <w:t>The comparative analysis in Table I shows that the HMS combines features that are typically found in separate specialized systems: the clinical workflow coverage of OpenMRS, the telemedicine capability of dedicated video consultation platforms, the tamper-evidence of blockchain-based EHR proposals, and the offline resilience of PWA-first applications. No single existing system in the comparison implements all eight evaluated features.</w:t>
      </w:r>
    </w:p>
    <w:p>
      <w:pPr>
        <w:spacing w:before="0" w:after="60"/>
        <w:ind w:firstLine="283"/>
        <w:jc w:val="both"/>
      </w:pPr>
      <w:r>
        <w:rPr>
          <w:rFonts w:ascii="Times New Roman" w:hAnsi="Times New Roman"/>
          <w:b w:val="0"/>
          <w:i w:val="0"/>
          <w:sz w:val="18"/>
        </w:rPr>
        <w:t>The nine identified limitations — particularly the plaintext group key storage and the incomplete telemedicine chat encryption — are real gaps that must be addressed before production deployment. But their identification is itself a contribution: a system that knows its weaknesses is safer than one that does not. The roadmap in Section XVII provides a clear path from the current state to a production-ready deployment.</w:t>
      </w:r>
    </w:p>
    <w:p>
      <w:pPr>
        <w:spacing w:before="0" w:after="60"/>
        <w:ind w:firstLine="283"/>
        <w:jc w:val="both"/>
      </w:pPr>
      <w:r>
        <w:rPr>
          <w:rFonts w:ascii="Times New Roman" w:hAnsi="Times New Roman"/>
          <w:b w:val="0"/>
          <w:i w:val="0"/>
          <w:sz w:val="18"/>
        </w:rPr>
        <w:t>The broader lesson of this survey is that security in healthcare software is not a feature that can be added at the end — it must be woven into every architectural decision from the beginning. The HMS demonstrates this principle through its layered middleware stack, its encrypted database schema, its role-aware routing, and its offline-first service worker. Future work will focus on closing the identified gaps and extending the system toward formal HIPAA and DPDP 2023 compliance certification.</w:t>
      </w:r>
    </w:p>
    <w:p>
      <w:pPr>
        <w:spacing w:before="120" w:after="40"/>
      </w:pPr>
      <w:r>
        <w:rPr>
          <w:rFonts w:ascii="Times New Roman" w:hAnsi="Times New Roman"/>
          <w:b/>
          <w:i w:val="0"/>
          <w:sz w:val="18"/>
        </w:rPr>
        <w:t>. REFERENCES</w:t>
      </w:r>
    </w:p>
    <w:p>
      <w:pPr>
        <w:spacing w:after="20"/>
        <w:ind w:left="283" w:hanging="283"/>
        <w:jc w:val="both"/>
      </w:pPr>
      <w:r>
        <w:rPr>
          <w:rFonts w:ascii="Times New Roman" w:hAnsi="Times New Roman"/>
          <w:b w:val="0"/>
          <w:i w:val="0"/>
          <w:sz w:val="16"/>
        </w:rPr>
        <w:t>[1] OWASP Foundation, "OWASP Top Ten 2021," Open Web Application Security Project, 2021. [Online]. Available: https://owasp.org/Top10/</w:t>
      </w:r>
    </w:p>
    <w:p>
      <w:pPr>
        <w:spacing w:after="20"/>
        <w:ind w:left="283" w:hanging="283"/>
        <w:jc w:val="both"/>
      </w:pPr>
      <w:r>
        <w:rPr>
          <w:rFonts w:ascii="Times New Roman" w:hAnsi="Times New Roman"/>
          <w:b w:val="0"/>
          <w:i w:val="0"/>
          <w:sz w:val="16"/>
        </w:rPr>
        <w:t>[2] P. Grassi, M. Garcia, and J. Fenton, "NIST Special Publication 800-63B: Digital Identity Guidelines — Authentication and Lifecycle Management," National Institute of Standards and Technology, 2017.</w:t>
      </w:r>
    </w:p>
    <w:p>
      <w:pPr>
        <w:spacing w:after="20"/>
        <w:ind w:left="283" w:hanging="283"/>
        <w:jc w:val="both"/>
      </w:pPr>
      <w:r>
        <w:rPr>
          <w:rFonts w:ascii="Times New Roman" w:hAnsi="Times New Roman"/>
          <w:b w:val="0"/>
          <w:i w:val="0"/>
          <w:sz w:val="16"/>
        </w:rPr>
        <w:t>[3] U.S. Department of Health and Human Services, "HIPAA Security Rule," 45 CFR Parts 160 and 164, 2003.</w:t>
      </w:r>
    </w:p>
    <w:p>
      <w:pPr>
        <w:spacing w:after="20"/>
        <w:ind w:left="283" w:hanging="283"/>
        <w:jc w:val="both"/>
      </w:pPr>
      <w:r>
        <w:rPr>
          <w:rFonts w:ascii="Times New Roman" w:hAnsi="Times New Roman"/>
          <w:b w:val="0"/>
          <w:i w:val="0"/>
          <w:sz w:val="16"/>
        </w:rPr>
        <w:t>[4] European Parliament, "General Data Protection Regulation (GDPR)," Regulation (EU) 2016/679, Official Journal of the European Union, 2016.</w:t>
      </w:r>
    </w:p>
    <w:p>
      <w:pPr>
        <w:spacing w:after="20"/>
        <w:ind w:left="283" w:hanging="283"/>
        <w:jc w:val="both"/>
      </w:pPr>
      <w:r>
        <w:rPr>
          <w:rFonts w:ascii="Times New Roman" w:hAnsi="Times New Roman"/>
          <w:b w:val="0"/>
          <w:i w:val="0"/>
          <w:sz w:val="16"/>
        </w:rPr>
        <w:t>[5] Ministry of Electronics and Information Technology, Government of India, "The Digital Personal Data Protection Act, 2023," No. 22 of 2023.</w:t>
      </w:r>
    </w:p>
    <w:p>
      <w:pPr>
        <w:spacing w:after="20"/>
        <w:ind w:left="283" w:hanging="283"/>
        <w:jc w:val="both"/>
      </w:pPr>
      <w:r>
        <w:rPr>
          <w:rFonts w:ascii="Times New Roman" w:hAnsi="Times New Roman"/>
          <w:b w:val="0"/>
          <w:i w:val="0"/>
          <w:sz w:val="16"/>
        </w:rPr>
        <w:t>[6] A. Almutairi, M. Aldosari, and F. Alotaibi, "Security Framework for Telemedicine Applications: A HIPAA-Compliant Approach," IEEE Access, vol. 9, pp. 112345-112360, 2021.</w:t>
      </w:r>
    </w:p>
    <w:p>
      <w:pPr>
        <w:spacing w:after="20"/>
        <w:ind w:left="283" w:hanging="283"/>
        <w:jc w:val="both"/>
      </w:pPr>
      <w:r>
        <w:rPr>
          <w:rFonts w:ascii="Times New Roman" w:hAnsi="Times New Roman"/>
          <w:b w:val="0"/>
          <w:i w:val="0"/>
          <w:sz w:val="16"/>
        </w:rPr>
        <w:t>[7] A. Azaria, A. Ekblaw, T. Vieira, and A. Lippman, "MedRec: Using Blockchain for Medical Data Access and Permission Management," in Proc. 2nd Int. Conf. Open and Big Data, Vienna, Austria, 2016, pp. 25-30.</w:t>
      </w:r>
    </w:p>
    <w:p>
      <w:pPr>
        <w:spacing w:after="20"/>
        <w:ind w:left="283" w:hanging="283"/>
        <w:jc w:val="both"/>
      </w:pPr>
      <w:r>
        <w:rPr>
          <w:rFonts w:ascii="Times New Roman" w:hAnsi="Times New Roman"/>
          <w:b w:val="0"/>
          <w:i w:val="0"/>
          <w:sz w:val="16"/>
        </w:rPr>
        <w:t>[8] R. Kumar, S. Sharma, and P. Gupta, "JWT-Based Authentication in Cloud Hospital Management Systems: A Security Analysis," Int. J. Health Informatics, vol. 14, no. 3, pp. 45-58, 2022.</w:t>
      </w:r>
    </w:p>
    <w:p>
      <w:pPr>
        <w:spacing w:after="20"/>
        <w:ind w:left="283" w:hanging="283"/>
        <w:jc w:val="both"/>
      </w:pPr>
      <w:r>
        <w:rPr>
          <w:rFonts w:ascii="Times New Roman" w:hAnsi="Times New Roman"/>
          <w:b w:val="0"/>
          <w:i w:val="0"/>
          <w:sz w:val="16"/>
        </w:rPr>
        <w:t>[9] D. Boneh and V. Shoup, "A Graduate Course in Applied Cryptography," Version 0.6, 2023. [Online]. Available: https://toc.cryptobook.us/</w:t>
      </w:r>
    </w:p>
    <w:p>
      <w:pPr>
        <w:spacing w:after="20"/>
        <w:ind w:left="283" w:hanging="283"/>
        <w:jc w:val="both"/>
      </w:pPr>
      <w:r>
        <w:rPr>
          <w:rFonts w:ascii="Times New Roman" w:hAnsi="Times New Roman"/>
          <w:b w:val="0"/>
          <w:i w:val="0"/>
          <w:sz w:val="16"/>
        </w:rPr>
        <w:t>[10] M. West, "Content Security Policy Level 3," W3C Working Draft, World Wide Web Consortium, 2023.</w:t>
      </w:r>
    </w:p>
    <w:p>
      <w:pPr>
        <w:spacing w:after="20"/>
        <w:ind w:left="283" w:hanging="283"/>
        <w:jc w:val="both"/>
      </w:pPr>
      <w:r>
        <w:rPr>
          <w:rFonts w:ascii="Times New Roman" w:hAnsi="Times New Roman"/>
          <w:b w:val="0"/>
          <w:i w:val="0"/>
          <w:sz w:val="16"/>
        </w:rPr>
        <w:t>[11] A. Biryukov, D. Dinu, and D. Khovratovich, "Argon2: New Generation of Memory-Hard Functions for Password Hashing and Other Applications," in Proc. IEEE European Symp. Security and Privacy, Saarbrucken, Germany, 2016, pp. 292-302.</w:t>
      </w:r>
    </w:p>
    <w:p>
      <w:pPr>
        <w:spacing w:after="20"/>
        <w:ind w:left="283" w:hanging="283"/>
        <w:jc w:val="both"/>
      </w:pPr>
      <w:r>
        <w:rPr>
          <w:rFonts w:ascii="Times New Roman" w:hAnsi="Times New Roman"/>
          <w:b w:val="0"/>
          <w:i w:val="0"/>
          <w:sz w:val="16"/>
        </w:rPr>
        <w:t>[12] I. Fette and A. Melnikov, "The WebSocket Protocol," RFC 6455, Internet Engineering Task Force, 2011.</w:t>
      </w:r>
    </w:p>
    <w:p>
      <w:pPr>
        <w:spacing w:after="20"/>
        <w:ind w:left="283" w:hanging="283"/>
        <w:jc w:val="both"/>
      </w:pPr>
      <w:r>
        <w:rPr>
          <w:rFonts w:ascii="Times New Roman" w:hAnsi="Times New Roman"/>
          <w:b w:val="0"/>
          <w:i w:val="0"/>
          <w:sz w:val="16"/>
        </w:rPr>
        <w:t>[13] C. Jennings, H. Boström, and J.-M. Bruaroey, "WebRTC 1.0: Real-Time Communication Between Browsers," W3C Recommendation, World Wide Web Consortium, 2021.</w:t>
      </w:r>
    </w:p>
    <w:p>
      <w:pPr>
        <w:spacing w:after="20"/>
        <w:ind w:left="283" w:hanging="283"/>
        <w:jc w:val="both"/>
      </w:pPr>
      <w:r>
        <w:rPr>
          <w:rFonts w:ascii="Times New Roman" w:hAnsi="Times New Roman"/>
          <w:b w:val="0"/>
          <w:i w:val="0"/>
          <w:sz w:val="16"/>
        </w:rPr>
        <w:t>[14] J. Archibald, "Service Workers: An Introduction," Google Developers, 2014. [Online]. Available: https://developers.google.com/web/fundamentals/primers/service-workers</w:t>
      </w:r>
    </w:p>
    <w:p>
      <w:pPr>
        <w:spacing w:after="20"/>
        <w:ind w:left="283" w:hanging="283"/>
        <w:jc w:val="both"/>
      </w:pPr>
      <w:r>
        <w:rPr>
          <w:rFonts w:ascii="Times New Roman" w:hAnsi="Times New Roman"/>
          <w:b w:val="0"/>
          <w:i w:val="0"/>
          <w:sz w:val="16"/>
        </w:rPr>
        <w:t>[15] OpenMRS Community, "OpenMRS Platform," Version 2.6, 2023. [Online]. Available: https://openmrs.org/</w:t>
      </w:r>
    </w:p>
    <w:sectPr w:rsidR="00FC693F" w:rsidRPr="0006063C" w:rsidSect="00034616">
      <w:pgSz w:w="12240" w:h="15840"/>
      <w:pgMar w:top="1077" w:right="890" w:bottom="1440" w:left="89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