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b w:val="1"/>
          <w:bCs w:val="1"/>
          <w:color w:val="292a2e"/>
          <w:sz w:val="36"/>
          <w:szCs w:val="36"/>
        </w:rPr>
      </w:pPr>
      <w:bookmarkStart w:colFirst="0" w:colLast="0" w:name="_mct8vftux1qj" w:id="0"/>
      <w:bookmarkEnd w:id="0"/>
      <w:r w:rsidDel="00000000" w:rsidR="00000000" w:rsidRPr="00000000">
        <w:rPr>
          <w:b w:val="1"/>
          <w:bCs w:val="1"/>
          <w:color w:val="292a2e"/>
          <w:sz w:val="36"/>
          <w:szCs w:val="36"/>
          <w:rtl w:val="0"/>
        </w:rPr>
        <w:t xml:space="preserve">Configure AWS SNS, SQS, IAM, EC2, and CloudWatch CPU Alarm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