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after="20" w:before="60" w:line="280"/>
        <w:jc w:val="left"/>
      </w:pPr>
      <w:r>
        <w:rPr>
          <w:rFonts w:ascii="Arial" w:cs="Arial" w:hAnsi="Arial"/>
          <w:b w:val="false"/>
          <w:color w:val="64748B"/>
          <w:sz w:val="18"/>
          <w:szCs w:val="18"/>
          <w:rtl w:val="false"/>
        </w:rPr>
        <w:t xml:space="preserve">Parent Education Portal — Paediatric Orthopaedic Surgery Unit</w:t>
      </w:r>
    </w:p>
    <w:p>
      <w:pPr>
        <w:pStyle w:val="Heading1"/>
        <w:pBdr>
          <w:bottom w:val="single" w:color="C4B5FD" w:sz="10" w:space="6"/>
        </w:pBdr>
        <w:bidi w:val="false"/>
        <w:spacing w:after="60" w:before="60" w:line="280"/>
        <w:jc w:val="left"/>
      </w:pPr>
      <w:r>
        <w:rPr>
          <w:rFonts w:ascii="Arial" w:cs="Arial" w:hAnsi="Arial"/>
          <w:b/>
          <w:bCs/>
          <w:color w:val="5B21B6"/>
          <w:sz w:val="34"/>
          <w:szCs w:val="34"/>
          <w:rtl w:val="false"/>
        </w:rPr>
        <w:t xml:space="preserve">Post-Operative Instructions — Correction Worksheet</w:t>
      </w:r>
    </w:p>
    <w:p>
      <w:pPr>
        <w:bidi w:val="false"/>
        <w:spacing w:after="200" w:before="60" w:line="280"/>
        <w:jc w:val="left"/>
      </w:pPr>
      <w:r>
        <w:rPr>
          <w:rFonts w:ascii="Arial" w:cs="Arial" w:hAnsi="Arial"/>
          <w:b w:val="false"/>
          <w:color w:val="334155"/>
          <w:sz w:val="20"/>
          <w:szCs w:val="20"/>
          <w:rtl w:val="false"/>
        </w:rPr>
        <w:t xml:space="preserve">15 procedures · Arabic parent guide · type your corrections in the yellow cells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Type straight into the yellow cells. Leave a cell blank if the draft is right.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If a whole procedure is fine as written, tick the green line under its table and skip the rest.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Rough answers are fine — "6 wks not 4", "we never do this", "ask the physio" all work.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Anything you do not fill in stays as drafted, and I will label it as a general-practice assumption.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Send the file back and I will apply every change to the Arabic text, the web portal and the Word document.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A.  General — applies to all 15 procedures</w:t>
      </w:r>
    </w:p>
    <w:p>
      <w:pPr>
        <w:keepNext/>
        <w:bidi w:val="false"/>
        <w:spacing w:after="120" w:before="0" w:line="280"/>
        <w:jc w:val="left"/>
      </w:pPr>
      <w:r>
        <w:rPr>
          <w:rFonts w:ascii="Arial" w:cs="Arial" w:hAnsi="Arial"/>
          <w:b w:val="false"/>
          <w:i/>
          <w:iCs/>
          <w:color w:val="64748B"/>
          <w:sz w:val="18"/>
          <w:szCs w:val="18"/>
          <w:rtl w:val="false"/>
        </w:rPr>
        <w:t xml:space="preserve">These are the blanks I could not fill from general practice, plus the house rules that run through every section.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Unit / hospital name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Generic: "بوابة تثقيف الأسرة — وحدة جراحة عظام الأطفال". No hospital named.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Contact number for red-flag boxes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None. Every danger box says "راجع الطوارئ" with no number to call.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Clinic / appointments line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Not mentioned anywhere.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Drug doses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Names + duration only; doses deferred to the discharge prescription (your choice). Say if you now want mg/kg printed.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Standard discharge analgesia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Paracetamol regular + ibuprofen PRN; stronger agent named vaguely ("مسكّن أقوى") for 2-5 days after bigger cases.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Antibiotics at discharge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Stated as "not usually given — peri-operative dose only", except possibly with exposed K-wires.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Vitamin D / calcium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Recommended after osteotomy, fusion and in neuromuscular children. Say if this is routine for everyone.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Wound care / bathing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Dressing left until review; shower 5-7 days; absorbable sutures assumed throughout.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Scar care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Silicone gel once healed + sun protection for 1 year, cross-referencing your existing silicone gel topic.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Physiotherapy pathway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Referred to generically. Not stated whether in-house or external, or whether you hand out a printed home programme.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Imaging follow-up rhythm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Roughly 6 weeks, 3, 6, 12 months, then yearly to skeletal maturity — varied per procedure.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Implant removal philosophy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Given as ranges per procedure (e.g. plate 9-18 months). Say if you want one firm house rule.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Blood transfusion wording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"possible and routine when needed" for the bigger hip cases.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Arabic register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Simplified MSA (فصحى مبسطة), matching your existing topics. No Gulf colloquial.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Address to mother or both parents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Mixed — mostly feminine singular (أنتِ) in care instructions, as in your existing cast-care topics.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B1.  DDH — Closed Reduction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Arthrogram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Routine in every case.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Adductor tenotomy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Routine in most cases, described as protecting the femoral head.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Total spica time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~3 months (said it may extend to 4).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 change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At 6 weeks under GA, with exam + imaging, then a fresh cast in less flexion.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Confirmation imaging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Limited CT or MRI after reduction to confirm concentricity.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 night, occasionally 2; same-day discharge in some centres.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Abduction brace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Full-time 4-6 weeks, then nights for 2-3 months. Denis Browne / removable hip brace.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Follow-up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 wks, cast off ~3 mo, then 3, 6, 12 months, yearly to maturity; focus at 4-5 yrs and puberty.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AVN risk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5-10%.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Further surgery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15-25% need a later pelvic osteotomy, usually age 3-7.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B2.  DDH — Open Reduction + Pelvic Osteotomy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Approach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Anterior bikini incision.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Pelvic osteotomy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Salter / Dega / Pemberton — chosen by socket shape and age.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Femoral shortening / derotation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Added in older children or high dislocation. No age threshold stated.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Fixation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K-wires or screws in pelvis; plate on femur when shortened.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K-wire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~6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Femoral plate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9-18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Spica duration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 weeks simple cases, up to 12 weeks with femoral shortening; change at 6 weeks under GA.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2-4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Analgesia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Caudal/epidural or regular IV, then oral. Diazepam for spasm.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Drain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Possible, removed in 24-48 h.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Not immediate after cast; sitting/crawling/standing 2-4 weeks before walking.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Post-cast brace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Night abduction brace "for some surgeons" if socket still shallow.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B3.  DDH — Pelvic Osteotomy Alone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Osteotomy type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Salter / Dega / Pemberton by age and socket shape.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4-6 weeks single-leg spica, OR no cast in older children with solid fixation.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Age threshold for no 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Not specified — written as "older children".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NWB 6 weeks, then partial to full over 2-4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Wire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6-8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2-3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Typical age range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Given as 18 months to 10 years, with different techniques for adolescents.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B4.  SCFE — Screw Fixation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Number of screws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One in stable slips; two considered in unstable.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Contralateral prophylactic fixation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Presented as a discussion with you. Leans toward fixing if under 10-12 yrs, endocrinopathy, or unreliable follow-up.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Contralateral risk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20-40% within 12-18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 — stable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Partial (weight of the limb), crutches 4-6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 — unstable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Strictly NWB, crutches 6-8 weeks or longer.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Reduction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 forced reduction; in-situ fixation. Gentle handling in unstable slips.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1-2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Endocrine / metabolic workup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Suggested when under 10 yrs or normal weight — thyroid, hormones, vitamin 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Screw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Usually left in; removed only if symptomatic and after physeal closure.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Return to sport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Light 3-4 months; contact/jumping 4-6 months with explicit clearance.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Follow-up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 wks, 3 mo, then every 4-6 months until physeal closure, both hips.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B5.  Proximal Femoral Osteotomy / Blade Plate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Immobilisation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Usually none — abduction pillow / knee immobiliser. Cast only for small children, poor bone, poor compliance, or combined pelvic osteotomy.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 duration when used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3-6 weeks, single or double leg spica.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None or minimal for 4-6 weeks, then graded.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2-4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Analgesia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Caudal/epidural or regular IV; muscle relaxant for spasm.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Plate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9-18 months, presented as planned and important in young children.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Physiotherapy start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Knee/ankle movement at 24-72 h; hip and knee flexion 2-6 weeks per your plan.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Bilateral in one sitting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common and discussed with the family.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Gait expectation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May look worse for months; real improvement 6-12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B6.  Neuromuscular Hip Reconstruction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Components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VDRO + shortening, Dega pelvic osteotomy, adductor/psoas release, capsulorrhaphy.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Immobilisation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Usually no spica — abduction wedge + knee immobilisers 3-6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When spica is used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Poor bone, severe spasticity, or difficulty holding position.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3-7 days; HDU/ICU first night when respiratory or feeding risk.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Spasticity meds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Diazepam 2-3 weeks tapered; baclofen continued and never stopped abruptly; gabapentin sometimes.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Bowel / gastric protection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Laxative treated as near-mandatory; gastric protection with NSAIDs.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Vitamin D / bone health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Emphasised; no bisphosphonate policy stated.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Transfusion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Expected in bilateral cases.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Sitting / standing programme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Sitting graded from week 1-2; standing frame after the immobilisation period, with therapist.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Seating review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Written as mandatory after surgery.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Hip surveillance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X-ray every 6-12 months to maturity.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Plate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Discussed at 6-12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Fracture warning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Strong warning about fragility fracture after immobilisation.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B7.  Proximal Femur Guided Growth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Implant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Screw (or screws) across part of the proximal femoral physis.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Concomitant soft tissue release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frequently added (adductor / psoas).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Day case or 1 night.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Immobilisation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None. Wedge/immobiliser 2-4 weeks only if releases were added.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Return to standing / PT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Within days to 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Follow-up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X-ray at 3 months, then every 4-6 months with migration percentage.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Screw exchange /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Exchange for longer screw if outgrown; removal when corrected.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Patient selection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Written as: enough growth remaining, hip not yet badly displaced.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Expected correction time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1-2 years, no visible change early 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Leg length effect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minor and monitored.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B8.  CP Hip Salvage — Proximal Femoral Resection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Technique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Resection of head and neck with muscle/capsule interposition over the femoral stump.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Post-op traction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Skin traction 3-6 weeks — written as "your protocol" (traction OR cast OR external fixator).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Heterotopic ossification prophylaxis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Mentioned as prescribed by some surgeons. No agent named.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4-7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Analgesia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one of the most painful weeks; diazepam + gabapentin commonly.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Sitting programme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Starts 2-4 weeks, graded over 6-12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Pain relief timeline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Told honestly as 3-6 months, sometimes longer, and not guaranteed 100%.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Unilateral vs bilateral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Presented as an individual decision including pelvic obliquity.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Standing frame after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Written as possible in some children, by your decision.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B9.  Neuromuscular Soft Tissue Releases (hip / knee / ankle)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Typical combination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Single-event multilevel surgery — adductor/psoas, hamstrings, gastroc or TAL.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Knee immobilisers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3-4 weeks after hamstring lengthening, then nights.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Below-knee 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3-6 weeks after ankle lengthening.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Abduction wedge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3-4 weeks after adductor release.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Early standing / walking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Encouraged within 1-3 days in casts for walkers.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1-3 days, up to 4-5 for multilevel.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Post-cast orthoses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AFO + night splints, refitted to the new position.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Physiotherapy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3-6 months, described as determining the result more than the surgery.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Temporary weakness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6-12 weeks, explained as expected not a complication.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Botox relationship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Explained as complementary; may resume after surgery.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B10.  Subtalar Arthroereisis + Calf Lengthening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Implant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Sinus tarsi implant, joints not fused.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Calf procedure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Gastrocnemius or Achilles lengthening — treated as an essential part, not optional.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Below-knee, 4-6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 in 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Allowed from a few days to 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Day case or 1 night.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Post-cast orthosis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AFO or SMO, or supportive insole in milder cases.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Implant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Planned at 1-2 years by many surgeons, or earlier if painful.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Lateral foot pain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Described as common for 6-12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B11.  Neuromuscular Foot Fusion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Which joints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Written generically (subtalar / triple). Not specified.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 sequence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 wks first cast, to 6 wks NWB, then walking cast 4-6 wks. Total 10-12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Strictly none for the first 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1-3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Ibuprofen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Flagged that some surgeons limit NSAIDs because of union — say your preference.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Vitamin D / nutrition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Emphasised as a union factor.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Hardware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Left unless prominent; removal after 1 year minimum.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Union assessment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X-ray at 6 wks, 10-12 wks, 6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Adjacent joint counselling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Long-term adjacent joint wear mentioned, with shock-absorbing shoe advice.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B12.  Knee Guided Growth (8-plate)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Setting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Day case mostly; 1 night for small children or bilateral.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Immobilisation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None. Soft dressing or knee immobiliser for comfort a few days.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Immediate and full; crutches optional for comfort.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Growth remaining needed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Stated as at least 1 year, preferably more.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Follow-up interval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Every 3-4 months — framed as part of treatment, not routine.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Plate removal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Typically 12-24 months, as soon as aligned, to avoid overcorrection.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Rebound counselling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Flagged especially under age 10.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Correction rate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About 1 degree per 1-2 months.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Return to sport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4-6 weeks; school ~1 week.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Imaging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Long standing alignment film at correction assessment.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B13.  Achilles Tendon Lengthening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Technique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Three presented: percutaneous, gastrocnemius recession, open Z — with Silfverskiöld logic explained.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Below-knee 4-6 weeks in neutral/right angle.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Weight-bearing in 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Usually allowed within days to 2 weeks after percutaneous; restricted after open.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Hospital stay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Day case or 1 night.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Post-cast AFO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Daytime for several months, then nights — described as individualised.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Night splint duration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Up to a year or more in neuromuscular children.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Physiotherapy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2-4 months, with calf strengthening emphasised.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Over-lengthening warning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Explicit calcaneus gait warning; states you deliberately under-lengthen.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Recurrence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Acknowledged, higher the younger the child.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B14.  Clubfoot — Percutaneous Achilles Tenotomy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Setting / anaesthetic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Clinic under local anaesthetic mostly, light GA as alternative. Say which you use.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Proportion needing tenotomy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80-90%.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Level of cut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About 1.5 cm above the calcaneus, complete division.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Immediate gain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15-20 degrees.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Final cast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 weeks (noted some use 4), above-knee, knee at 90 degrees.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 position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Abduction 60-70 degrees, dorsiflexion 15-20 degrees.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Observation after procedure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1-2 hours, watching for bleeding.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Brace type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Denis Browne bar and shoes.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Brace schedule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23 h/day for 3 months, then nights and naps until age 4-5.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Bar settings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Affected 60-70°, normal 30-40°, width = shoulder width.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Relapse figures quoted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Over 80% without bracing vs under 10% with.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Follow-up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3 wks, 2 wks after bracing, 3 months, then every 3-4 months to age 4, yearly to maturity.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bidi w:val="false"/>
        <w:spacing w:after="60" w:before="30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B15.  Clubfoot — Releases, Tendon Transfer, Reconstruction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2750"/>
        <w:gridCol w:w="3550"/>
        <w:gridCol w:w="3338"/>
      </w:tblGrid>
      <w:tr>
        <w:trPr>
          <w:tblHeader/>
        </w:trPr>
        <w:tc>
          <w:tcPr>
            <w:tcW w:type="dxa" w:w="27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55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What the draft currently says</w:t>
            </w:r>
          </w:p>
        </w:tc>
        <w:tc>
          <w:tcPr>
            <w:tcW w:type="dxa" w:w="33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correction</w:t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Proportion needing surgery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Under 5% of clubfeet.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Tibialis anterior transfer — age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After 3-4 years, once the lateral cuneiform ossifies.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Tibialis anterior transfer — indication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Dynamic supination during gait with normal resting shape.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Transfer site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Lateral cuneiform / mid dorsum. No joints opened.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Casting after transfer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Above-knee 4-6 weeks, walking in cast from ~2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Posteromedial release casting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6-12 weeks, change under GA at 6 weeks, NWB first 6 weeks.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K-wires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4-6 weeks; removed in clinic if exposed, under short GA if buried.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Antibiotics with exposed wires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Written as per your policy — not specified.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Casting before transfer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Mentioned that short casting often precedes transfer to correct shape first.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Bracing after surgery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Back to Denis Browne at night for under-5s; AFO for older children.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Osteotomy add-ons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Calcaneal / midfoot osteotomy for fixed bony deformity in older children.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Over-release counselling</w:t>
            </w:r>
          </w:p>
        </w:tc>
        <w:tc>
          <w:tcPr>
            <w:tcW w:type="dxa" w:w="35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>Explicit: wide release looks good in childhood, stiff and painful in adolescence.</w:t>
            </w:r>
          </w:p>
        </w:tc>
        <w:tc>
          <w:tcPr>
            <w:tcW w:type="dxa" w:w="33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275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else on this procedure</w:t>
            </w:r>
          </w:p>
        </w:tc>
        <w:tc>
          <w:tcPr>
            <w:tcW w:type="dxa" w:w="6888"/>
            <w:gridSpan w:val="2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 w:val="false"/>
        <w:spacing w:after="80" w:before="100" w:line="280"/>
        <w:jc w:val="left"/>
      </w:pPr>
      <w:r>
        <w:rPr>
          <w:rFonts w:ascii="Arial" w:cs="Arial" w:hAnsi="Arial"/>
          <w:b/>
          <w:bCs/>
          <w:color w:val="059669"/>
          <w:sz w:val="20"/>
          <w:szCs w:val="20"/>
          <w:rtl w:val="false"/>
        </w:rPr>
        <w:t xml:space="preserve">☐  Everything above is correct as written — no changes needed for this procedure</w:t>
      </w:r>
    </w:p>
    <w:p>
      <w:pPr>
        <w:pStyle w:val="Heading2"/>
        <w:keepNext/>
        <w:pageBreakBefore/>
        <w:bidi w:val="false"/>
        <w:spacing w:after="120" w:before="34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C.  Open questions — free text</w:t>
      </w:r>
    </w:p>
    <w:tbl>
      <w:tblPr>
        <w:tblW w:type="dxa" w:w="9638"/>
        <w:tblBorders>
          <w:top w:val="single" w:color="C7D2E0" w:sz="4"/>
          <w:left w:val="single" w:color="C7D2E0" w:sz="4"/>
          <w:bottom w:val="single" w:color="C7D2E0" w:sz="4"/>
          <w:right w:val="single" w:color="C7D2E0" w:sz="4"/>
          <w:insideH w:val="single" w:color="C7D2E0" w:sz="4"/>
          <w:insideV w:val="single" w:color="C7D2E0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Question</w:t>
            </w:r>
          </w:p>
        </w:tc>
        <w:tc>
          <w:tcPr>
            <w:tcW w:type="dxa" w:w="6438"/>
            <w:shd w:fill="1E4E8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/>
                <w:bCs/>
                <w:color w:val="FFFFFF"/>
                <w:sz w:val="20"/>
                <w:szCs w:val="20"/>
                <w:rtl w:val="false"/>
              </w:rPr>
              <w:t xml:space="preserve">Your answer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Procedures to add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Any operation you want covered that is not in the 15. I will draft it in the same format.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Anything to remove or soften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Figures, risks or wording you would rather not put in front of parents.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Tone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Is the level of detail right? Too much, too little, too frank about risk?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Things parents actually ask you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Real questions from clinic that I have not covered — the FAQ sections are the easiest part to extend.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Known local practice differences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Anything where your practice deliberately differs from what is published elsewhere, so I do not "correct" it back.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40" w:before="0" w:line="280"/>
              <w:jc w:val="left"/>
            </w:pPr>
            <w:r>
              <w:rPr>
                <w:rFonts w:ascii="Arial" w:cs="Arial" w:hAnsi="Arial"/>
                <w:b/>
                <w:bCs/>
                <w:sz w:val="20"/>
                <w:szCs w:val="20"/>
                <w:rtl w:val="false"/>
              </w:rPr>
              <w:t xml:space="preserve">Who reviews this before use</w:t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i/>
                <w:iCs/>
                <w:color w:val="64748B"/>
                <w:sz w:val="17"/>
                <w:szCs w:val="17"/>
                <w:rtl w:val="false"/>
              </w:rPr>
              <w:t xml:space="preserve">Name/role, if you want a review line printed on the document.</w:t>
            </w:r>
          </w:p>
        </w:tc>
        <w:tc>
          <w:tcPr>
            <w:tcW w:type="dxa" w:w="6438"/>
            <w:shd w:fill="FFFDE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  <w:p>
            <w:pPr>
              <w:bidi w:val="false"/>
              <w:spacing w:after="0" w:before="0" w:line="280"/>
              <w:jc w:val="left"/>
            </w:pPr>
            <w:r>
              <w:rPr>
                <w:rFonts w:ascii="Arial" w:cs="Arial" w:hAnsi="Arial"/>
                <w:b w:val="false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pStyle w:val="Heading2"/>
        <w:keepNext/>
        <w:bidi w:val="false"/>
        <w:spacing w:after="100" w:before="340" w:line="280"/>
        <w:jc w:val="left"/>
      </w:pPr>
      <w:r>
        <w:rPr>
          <w:rFonts w:ascii="Arial" w:cs="Arial" w:hAnsi="Arial"/>
          <w:b/>
          <w:bCs/>
          <w:color w:val="1E4E8C"/>
          <w:sz w:val="26"/>
          <w:szCs w:val="26"/>
          <w:rtl w:val="false"/>
        </w:rPr>
        <w:t xml:space="preserve">D.  Sending it back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Save and send this file back — I read .docx directly, including tracked changes and comments.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You can also just reply in the chat: "B4 — unstable slips NWB 8 weeks, and we always fix the other side" is enough.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Or edit the Arabic Word document itself with track changes on, and I will pull your edits out of it.</w:t>
      </w:r>
    </w:p>
    <w:p>
      <w:pPr>
        <w:pStyle w:val="ListParagraph"/>
        <w:numPr>
          <w:ilvl w:val="0"/>
          <w:numId w:val="2"/>
        </w:numPr>
        <w:bidi w:val="false"/>
        <w:spacing w:after="60" w:before="0" w:line="280"/>
        <w:jc w:val="left"/>
      </w:pPr>
      <w:r>
        <w:rPr>
          <w:rFonts w:ascii="Arial" w:cs="Arial" w:hAnsi="Arial"/>
          <w:b w:val="false"/>
          <w:sz w:val="20"/>
          <w:szCs w:val="20"/>
          <w:rtl w:val="false"/>
        </w:rPr>
        <w:t xml:space="preserve">Every correction goes into the source data file, so the web portal and the Word document update together and cannot drift apart.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hAnsi="Arial"/>
        <w:color w:val="64748B"/>
        <w:sz w:val="16"/>
        <w:szCs w:val="16"/>
      </w:rPr>
      <w:t xml:space="preserve">Correction worksheet —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40"/>
      </w:pPr>
      <w:rPr>
        <w:rFonts w:ascii="Arial" w:cs="Arial" w:hAnsi="Arial"/>
        <w:color w:val="5B21B6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Post-Operative Instructions — Correction Worksheet</dc:title>
  <dc:creator>Parent Education Portal — Paediatric Orthopaedic Surgery Unit</dc:creator>
  <dc:description>Clinical review worksheet for the Arabic parent post-operative instruction guide</dc:description>
  <cp:lastModifiedBy>Un-named</cp:lastModifiedBy>
  <cp:revision>1</cp:revision>
  <dcterms:created xsi:type="dcterms:W3CDTF">2026-09-12T18:34:38.114Z</dcterms:created>
  <dcterms:modified xsi:type="dcterms:W3CDTF">2026-09-12T18:34:38.114Z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