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AACCFF"/>
                <w:sz w:val="28"/>
                <w:szCs w:val="28"/>
              </w:rPr>
              <w:t xml:space="preserve">Chapitre 1</w:t>
            </w:r>
          </w:p>
          <w:p>
            <w:pPr>
              <w:jc w:val="center"/>
            </w:pPr>
            <w:r>
              <w:rPr>
                <w:rFonts w:ascii="Arial" w:cs="Arial" w:eastAsia="Arial" w:hAnsi="Arial"/>
                <w:b/>
                <w:bCs/>
                <w:color w:val="FFFFFF"/>
                <w:sz w:val="36"/>
                <w:szCs w:val="36"/>
              </w:rPr>
              <w:t xml:space="preserve">Présentation du Cadre de Projet</w:t>
            </w:r>
          </w:p>
        </w:tc>
      </w:tr>
    </w:tbl>
    <w:p>
      <w:r>
        <w:t xml:space="preserve"/>
      </w:r>
    </w:p>
    <w:p>
      <w:r>
        <w:t xml:space="preserve"/>
      </w:r>
    </w:p>
    <w:p>
      <w:pPr>
        <w:pStyle w:val="Heading1"/>
        <w:spacing w:after="200" w:before="300"/>
      </w:pPr>
      <w:r>
        <w:rPr>
          <w:rFonts w:ascii="Arial" w:cs="Arial" w:eastAsia="Arial" w:hAnsi="Arial"/>
          <w:b/>
          <w:bCs/>
          <w:color w:val="1F3864"/>
          <w:sz w:val="32"/>
          <w:szCs w:val="32"/>
        </w:rPr>
        <w:t xml:space="preserve">1. Introduction</w:t>
      </w:r>
    </w:p>
    <w:p>
      <w:pPr>
        <w:spacing w:after="100" w:before="100" w:line="360"/>
        <w:jc w:val="both"/>
      </w:pPr>
      <w:r>
        <w:rPr>
          <w:rFonts w:ascii="Arial" w:cs="Arial" w:eastAsia="Arial" w:hAnsi="Arial"/>
          <w:color w:val="000000"/>
          <w:sz w:val="22"/>
          <w:szCs w:val="22"/>
        </w:rPr>
        <w:t xml:space="preserve">La cybersécurité est devenue un enjeu stratégique majeur à l'ère du numérique. L'explosion du volume des échanges numériques, la multiplication des appareils connectés et la sophistication croissante des attaquants ont conduit à une recrudescence sans précédent des incidents informatiques. Parmi les menaces les plus répandues et les plus destructrices, les malwares (logiciels malveillants) occupent une place centrale. Qu'il s'agisse de ransomwares paralysant des hôpitaux, de spywares exfiltrant des données personnelles, ou de trojans compromettant des infrastructures critiques, les malwares représentent aujourd'hui une menace polymorphe et en constante évolution.</w:t>
      </w:r>
    </w:p>
    <w:p>
      <w:pPr>
        <w:spacing w:after="100" w:before="100" w:line="360"/>
        <w:jc w:val="both"/>
      </w:pPr>
      <w:r>
        <w:rPr>
          <w:rFonts w:ascii="Arial" w:cs="Arial" w:eastAsia="Arial" w:hAnsi="Arial"/>
          <w:color w:val="000000"/>
          <w:sz w:val="22"/>
          <w:szCs w:val="22"/>
        </w:rPr>
        <w:t xml:space="preserve">Face à cette réalité, les approches traditionnelles de détection — principalement basées sur les signatures et les listes noires — montrent leurs limites. Elles sont incapables de détecter les menaces inédites (zero-day), facilement contournées par les malwares obfusqués, et nécessitent des mises à jour permanentes pour rester efficaces. Il devient donc impératif de repenser fondamentalement les mécanismes de détection en intégrant des approches d'intelligence artificielle plus robustes et plus adaptatives.</w:t>
      </w:r>
    </w:p>
    <w:p>
      <w:pPr>
        <w:spacing w:after="100" w:before="100" w:line="360"/>
        <w:jc w:val="both"/>
      </w:pPr>
      <w:r>
        <w:rPr>
          <w:rFonts w:ascii="Arial" w:cs="Arial" w:eastAsia="Arial" w:hAnsi="Arial"/>
          <w:color w:val="000000"/>
          <w:sz w:val="22"/>
          <w:szCs w:val="22"/>
        </w:rPr>
        <w:t xml:space="preserve">C'est dans ce contexte que s'inscrit notre Projet de Fin d'Année (PFA), qui propose une approche hybride pour la détection et le stockage intelligent des fichiers non malveillants, en combinant des techniques de Machine Learning classique et de Deep Learning. Ce chapitre présente le cadre général du projet : l'étude de l'existant, la critique des solutions actuelles, la solution proposée, ainsi que la méthodologie et le planning de développement adoptés.</w:t>
      </w:r>
    </w:p>
    <w:p>
      <w:r>
        <w:t xml:space="preserve"/>
      </w:r>
    </w:p>
    <w:p>
      <w:pPr>
        <w:pStyle w:val="Heading1"/>
        <w:spacing w:after="200" w:before="300"/>
      </w:pPr>
      <w:r>
        <w:rPr>
          <w:rFonts w:ascii="Arial" w:cs="Arial" w:eastAsia="Arial" w:hAnsi="Arial"/>
          <w:b/>
          <w:bCs/>
          <w:color w:val="1F3864"/>
          <w:sz w:val="32"/>
          <w:szCs w:val="32"/>
        </w:rPr>
        <w:t xml:space="preserve">2. Étude de l'Existant</w:t>
      </w:r>
    </w:p>
    <w:p>
      <w:pPr>
        <w:pStyle w:val="Heading2"/>
        <w:spacing w:after="160" w:before="240"/>
      </w:pPr>
      <w:r>
        <w:rPr>
          <w:rFonts w:ascii="Arial" w:cs="Arial" w:eastAsia="Arial" w:hAnsi="Arial"/>
          <w:b/>
          <w:bCs/>
          <w:color w:val="2E75B6"/>
          <w:sz w:val="26"/>
          <w:szCs w:val="26"/>
        </w:rPr>
        <w:t xml:space="preserve">2.1 Description de l'existant</w:t>
      </w:r>
    </w:p>
    <w:p>
      <w:pPr>
        <w:spacing w:after="100" w:before="100" w:line="360"/>
        <w:jc w:val="both"/>
      </w:pPr>
      <w:r>
        <w:rPr>
          <w:rFonts w:ascii="Arial" w:cs="Arial" w:eastAsia="Arial" w:hAnsi="Arial"/>
          <w:color w:val="000000"/>
          <w:sz w:val="22"/>
          <w:szCs w:val="22"/>
        </w:rPr>
        <w:t xml:space="preserve">Les solutions actuelles de détection de malwares peuvent être classées en deux grandes catégories : l'analyse statique et l'analyse dynamique. Chacune présente des avantages et des limitations qu'il est essentiel de comprendre pour justifier notre approche hybride.</w:t>
      </w:r>
    </w:p>
    <w:p>
      <w:pPr>
        <w:pStyle w:val="Heading3"/>
        <w:spacing w:after="120" w:before="200"/>
      </w:pPr>
      <w:r>
        <w:rPr>
          <w:rFonts w:ascii="Arial" w:cs="Arial" w:eastAsia="Arial" w:hAnsi="Arial"/>
          <w:b/>
          <w:bCs/>
          <w:color w:val="C55A11"/>
          <w:sz w:val="24"/>
          <w:szCs w:val="24"/>
        </w:rPr>
        <w:t xml:space="preserve">2.1.1 Analyse Statique Traditionnelle</w:t>
      </w:r>
    </w:p>
    <w:p>
      <w:pPr>
        <w:spacing w:after="100" w:before="100" w:line="360"/>
        <w:jc w:val="both"/>
      </w:pPr>
      <w:r>
        <w:rPr>
          <w:rFonts w:ascii="Arial" w:cs="Arial" w:eastAsia="Arial" w:hAnsi="Arial"/>
          <w:color w:val="000000"/>
          <w:sz w:val="22"/>
          <w:szCs w:val="22"/>
        </w:rPr>
        <w:t xml:space="preserve">L'analyse statique consiste à examiner le fichier sans l'exécuter. Elle repose principalement sur la comparaison avec des signatures connues — des empreintes numériques de malwares identifiés — stockées dans des bases de données régulièrement mises à jour par les éditeurs antivirus (Kaspersky, Norton, BitDefender, etc.).</w:t>
      </w:r>
    </w:p>
    <w:p>
      <w:pPr>
        <w:spacing w:after="100" w:before="100" w:line="360"/>
        <w:jc w:val="both"/>
      </w:pPr>
      <w:r>
        <w:rPr>
          <w:rFonts w:ascii="Arial" w:cs="Arial" w:eastAsia="Arial" w:hAnsi="Arial"/>
          <w:color w:val="000000"/>
          <w:sz w:val="22"/>
          <w:szCs w:val="22"/>
        </w:rPr>
        <w:t xml:space="preserve">Les méthodes statiques traditionnelles incluent :</w:t>
      </w:r>
    </w:p>
    <w:p>
      <w:pPr>
        <w:pStyle w:val="ListParagraph"/>
        <w:numPr>
          <w:ilvl w:val="0"/>
          <w:numId w:val="2"/>
        </w:numPr>
        <w:spacing w:after="60" w:before="60" w:line="320"/>
      </w:pPr>
      <w:r>
        <w:rPr>
          <w:rFonts w:ascii="Arial" w:cs="Arial" w:eastAsia="Arial" w:hAnsi="Arial"/>
          <w:color w:val="000000"/>
          <w:sz w:val="22"/>
          <w:szCs w:val="22"/>
        </w:rPr>
        <w:t xml:space="preserve">Détection par signatures : comparaison du hash MD5/SHA256 ou de séquences d'octets caractéristiques</w:t>
      </w:r>
    </w:p>
    <w:p>
      <w:pPr>
        <w:pStyle w:val="ListParagraph"/>
        <w:numPr>
          <w:ilvl w:val="0"/>
          <w:numId w:val="2"/>
        </w:numPr>
        <w:spacing w:after="60" w:before="60" w:line="320"/>
      </w:pPr>
      <w:r>
        <w:rPr>
          <w:rFonts w:ascii="Arial" w:cs="Arial" w:eastAsia="Arial" w:hAnsi="Arial"/>
          <w:color w:val="000000"/>
          <w:sz w:val="22"/>
          <w:szCs w:val="22"/>
        </w:rPr>
        <w:t xml:space="preserve">Analyse heuristique : détection de comportements suspects dans le code (appels systèmes inhabituels, entropie élevée)</w:t>
      </w:r>
    </w:p>
    <w:p>
      <w:pPr>
        <w:pStyle w:val="ListParagraph"/>
        <w:numPr>
          <w:ilvl w:val="0"/>
          <w:numId w:val="2"/>
        </w:numPr>
        <w:spacing w:after="60" w:before="60" w:line="320"/>
      </w:pPr>
      <w:r>
        <w:rPr>
          <w:rFonts w:ascii="Arial" w:cs="Arial" w:eastAsia="Arial" w:hAnsi="Arial"/>
          <w:color w:val="000000"/>
          <w:sz w:val="22"/>
          <w:szCs w:val="22"/>
        </w:rPr>
        <w:t xml:space="preserve">Analyse des en-têtes PE (Portable Executable) : examination des imports, sections, et métadonnées du fichier</w:t>
      </w:r>
    </w:p>
    <w:p>
      <w:pPr>
        <w:pStyle w:val="ListParagraph"/>
        <w:numPr>
          <w:ilvl w:val="0"/>
          <w:numId w:val="2"/>
        </w:numPr>
        <w:spacing w:after="60" w:before="60" w:line="320"/>
      </w:pPr>
      <w:r>
        <w:rPr>
          <w:rFonts w:ascii="Arial" w:cs="Arial" w:eastAsia="Arial" w:hAnsi="Arial"/>
          <w:color w:val="000000"/>
          <w:sz w:val="22"/>
          <w:szCs w:val="22"/>
        </w:rPr>
        <w:t xml:space="preserve">Analyse par décompilation : désassemblage du code pour identifier des patterns malveillants</w:t>
      </w:r>
    </w:p>
    <w:p>
      <w:r>
        <w:t xml:space="preserve"/>
      </w:r>
    </w:p>
    <w:p>
      <w:pPr>
        <w:pStyle w:val="Heading3"/>
        <w:spacing w:after="120" w:before="200"/>
      </w:pPr>
      <w:r>
        <w:rPr>
          <w:rFonts w:ascii="Arial" w:cs="Arial" w:eastAsia="Arial" w:hAnsi="Arial"/>
          <w:b/>
          <w:bCs/>
          <w:color w:val="C55A11"/>
          <w:sz w:val="24"/>
          <w:szCs w:val="24"/>
        </w:rPr>
        <w:t xml:space="preserve">2.1.2 Analyse Dynamique Traditionnelle</w:t>
      </w:r>
    </w:p>
    <w:p>
      <w:pPr>
        <w:spacing w:after="100" w:before="100" w:line="360"/>
        <w:jc w:val="both"/>
      </w:pPr>
      <w:r>
        <w:rPr>
          <w:rFonts w:ascii="Arial" w:cs="Arial" w:eastAsia="Arial" w:hAnsi="Arial"/>
          <w:color w:val="000000"/>
          <w:sz w:val="22"/>
          <w:szCs w:val="22"/>
        </w:rPr>
        <w:t xml:space="preserve">L'analyse dynamique consiste à exécuter le fichier dans un environnement contrôlé (sandbox) et à observer son comportement en temps réel. Cette approche permet de détecter des malwares qui dissimulent leur nature lors de l'analyse statique.</w:t>
      </w:r>
    </w:p>
    <w:p>
      <w:pPr>
        <w:spacing w:after="100" w:before="100" w:line="360"/>
        <w:jc w:val="both"/>
      </w:pPr>
      <w:r>
        <w:rPr>
          <w:rFonts w:ascii="Arial" w:cs="Arial" w:eastAsia="Arial" w:hAnsi="Arial"/>
          <w:color w:val="000000"/>
          <w:sz w:val="22"/>
          <w:szCs w:val="22"/>
        </w:rPr>
        <w:t xml:space="preserve">Les méthodes dynamiques traditionnelles incluent :</w:t>
      </w:r>
    </w:p>
    <w:p>
      <w:pPr>
        <w:pStyle w:val="ListParagraph"/>
        <w:numPr>
          <w:ilvl w:val="0"/>
          <w:numId w:val="2"/>
        </w:numPr>
        <w:spacing w:after="60" w:before="60" w:line="320"/>
      </w:pPr>
      <w:r>
        <w:rPr>
          <w:rFonts w:ascii="Arial" w:cs="Arial" w:eastAsia="Arial" w:hAnsi="Arial"/>
          <w:color w:val="000000"/>
          <w:sz w:val="22"/>
          <w:szCs w:val="22"/>
        </w:rPr>
        <w:t xml:space="preserve">Sandboxing : exécution dans un environnement isolé (VMware, VirtualBox, Cuckoo Sandbox)</w:t>
      </w:r>
    </w:p>
    <w:p>
      <w:pPr>
        <w:pStyle w:val="ListParagraph"/>
        <w:numPr>
          <w:ilvl w:val="0"/>
          <w:numId w:val="2"/>
        </w:numPr>
        <w:spacing w:after="60" w:before="60" w:line="320"/>
      </w:pPr>
      <w:r>
        <w:rPr>
          <w:rFonts w:ascii="Arial" w:cs="Arial" w:eastAsia="Arial" w:hAnsi="Arial"/>
          <w:color w:val="000000"/>
          <w:sz w:val="22"/>
          <w:szCs w:val="22"/>
        </w:rPr>
        <w:t xml:space="preserve">Surveillance des appels système : interception des API Windows (CreateFile, RegSetValue, Connect)</w:t>
      </w:r>
    </w:p>
    <w:p>
      <w:pPr>
        <w:pStyle w:val="ListParagraph"/>
        <w:numPr>
          <w:ilvl w:val="0"/>
          <w:numId w:val="2"/>
        </w:numPr>
        <w:spacing w:after="60" w:before="60" w:line="320"/>
      </w:pPr>
      <w:r>
        <w:rPr>
          <w:rFonts w:ascii="Arial" w:cs="Arial" w:eastAsia="Arial" w:hAnsi="Arial"/>
          <w:color w:val="000000"/>
          <w:sz w:val="22"/>
          <w:szCs w:val="22"/>
        </w:rPr>
        <w:t xml:space="preserve">Analyse du trafic réseau : détection de connexions suspectes, C&amp;C (Command and Control)</w:t>
      </w:r>
    </w:p>
    <w:p>
      <w:pPr>
        <w:pStyle w:val="ListParagraph"/>
        <w:numPr>
          <w:ilvl w:val="0"/>
          <w:numId w:val="2"/>
        </w:numPr>
        <w:spacing w:after="60" w:before="60" w:line="320"/>
      </w:pPr>
      <w:r>
        <w:rPr>
          <w:rFonts w:ascii="Arial" w:cs="Arial" w:eastAsia="Arial" w:hAnsi="Arial"/>
          <w:color w:val="000000"/>
          <w:sz w:val="22"/>
          <w:szCs w:val="22"/>
        </w:rPr>
        <w:t xml:space="preserve">Monitoring mémoire : détection d'injections de code, de modifications de processus</w:t>
      </w:r>
    </w:p>
    <w:p>
      <w:r>
        <w:t xml:space="preserve"/>
      </w:r>
    </w:p>
    <w:p>
      <w:pPr>
        <w:pStyle w:val="Heading3"/>
        <w:spacing w:after="120" w:before="200"/>
      </w:pPr>
      <w:r>
        <w:rPr>
          <w:rFonts w:ascii="Arial" w:cs="Arial" w:eastAsia="Arial" w:hAnsi="Arial"/>
          <w:b/>
          <w:bCs/>
          <w:color w:val="C55A11"/>
          <w:sz w:val="24"/>
          <w:szCs w:val="24"/>
        </w:rPr>
        <w:t xml:space="preserve">2.1.3 Solutions Commerciales Existantes</w:t>
      </w:r>
    </w:p>
    <w:p>
      <w:pPr>
        <w:spacing w:after="100" w:before="100" w:line="360"/>
        <w:jc w:val="both"/>
      </w:pPr>
      <w:r>
        <w:rPr>
          <w:rFonts w:ascii="Arial" w:cs="Arial" w:eastAsia="Arial" w:hAnsi="Arial"/>
          <w:color w:val="000000"/>
          <w:sz w:val="22"/>
          <w:szCs w:val="22"/>
        </w:rPr>
        <w:t xml:space="preserve">Le marché de la cybersécurité propose plusieurs solutions consolidées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Solution</w:t>
            </w:r>
          </w:p>
        </w:tc>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Approche principale</w:t>
            </w:r>
          </w:p>
        </w:tc>
        <w:tc>
          <w:tcPr>
            <w:tcW w:type="dxa" w:w="38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Limitation majeure</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Kaspersky AV</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Signatures + heuristique</w:t>
            </w:r>
          </w:p>
        </w:tc>
        <w:tc>
          <w:tcPr>
            <w:tcW w:type="dxa" w:w="3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Inefficace contre les malwares obfusqués et zero-day</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Windows Defender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Signatures + ML basique</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Faible taux de détection des nouvelles variantes</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VirusTotal</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Agrégation 70+ moteurs AV</w:t>
            </w:r>
          </w:p>
        </w:tc>
        <w:tc>
          <w:tcPr>
            <w:tcW w:type="dxa" w:w="3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Latence élevée, pas de prédiction proactive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Cuckoo Sandbox</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Analyse dynamique sandbox</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Configuration complexe, ressources importantes</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Cylance (ML)</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Machine Learning (features PE)</w:t>
            </w:r>
          </w:p>
        </w:tc>
        <w:tc>
          <w:tcPr>
            <w:tcW w:type="dxa" w:w="3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Boîte noire, manque d'interprétabilité</w:t>
            </w:r>
          </w:p>
        </w:tc>
      </w:tr>
    </w:tbl>
    <w:p>
      <w:pPr>
        <w:spacing w:after="160" w:before="80"/>
        <w:jc w:val="center"/>
      </w:pPr>
      <w:r>
        <w:rPr>
          <w:rFonts w:ascii="Arial" w:cs="Arial" w:eastAsia="Arial" w:hAnsi="Arial"/>
          <w:i/>
          <w:iCs/>
          <w:color w:val="555555"/>
          <w:sz w:val="18"/>
          <w:szCs w:val="18"/>
        </w:rPr>
        <w:t xml:space="preserve">Tableau 1.1 — Comparaison des solutions existantes de détection de malwares</w:t>
      </w:r>
    </w:p>
    <w:p>
      <w:r>
        <w:t xml:space="preserve"/>
      </w:r>
    </w:p>
    <w:p>
      <w:pPr>
        <w:pStyle w:val="Heading2"/>
        <w:spacing w:after="160" w:before="240"/>
      </w:pPr>
      <w:r>
        <w:rPr>
          <w:rFonts w:ascii="Arial" w:cs="Arial" w:eastAsia="Arial" w:hAnsi="Arial"/>
          <w:b/>
          <w:bCs/>
          <w:color w:val="2E75B6"/>
          <w:sz w:val="26"/>
          <w:szCs w:val="26"/>
        </w:rPr>
        <w:t xml:space="preserve">2.2 Critique de l'existant</w:t>
      </w:r>
    </w:p>
    <w:p>
      <w:pPr>
        <w:spacing w:after="100" w:before="100" w:line="360"/>
        <w:jc w:val="both"/>
      </w:pPr>
      <w:r>
        <w:rPr>
          <w:rFonts w:ascii="Arial" w:cs="Arial" w:eastAsia="Arial" w:hAnsi="Arial"/>
          <w:color w:val="000000"/>
          <w:sz w:val="22"/>
          <w:szCs w:val="22"/>
        </w:rPr>
        <w:t xml:space="preserve">Malgré leur maturité, les solutions existantes souffrent de limitations structurelles qui les rendent insuffisantes face aux menaces modernes. Nous identifions cinq critiques majeures :</w:t>
      </w:r>
    </w:p>
    <w:p>
      <w:pPr>
        <w:pStyle w:val="Heading3"/>
        <w:spacing w:after="120" w:before="200"/>
      </w:pPr>
      <w:r>
        <w:rPr>
          <w:rFonts w:ascii="Arial" w:cs="Arial" w:eastAsia="Arial" w:hAnsi="Arial"/>
          <w:b/>
          <w:bCs/>
          <w:color w:val="C55A11"/>
          <w:sz w:val="24"/>
          <w:szCs w:val="24"/>
        </w:rPr>
        <w:t xml:space="preserve">2.2.1 Incapacité à détecter les menaces zero-day</w:t>
      </w:r>
    </w:p>
    <w:p>
      <w:pPr>
        <w:spacing w:after="100" w:before="100" w:line="360"/>
        <w:jc w:val="both"/>
      </w:pPr>
      <w:r>
        <w:rPr>
          <w:rFonts w:ascii="Arial" w:cs="Arial" w:eastAsia="Arial" w:hAnsi="Arial"/>
          <w:color w:val="000000"/>
          <w:sz w:val="22"/>
          <w:szCs w:val="22"/>
        </w:rPr>
        <w:t xml:space="preserve">Les systèmes basés sur les signatures dépendent de bases de données de malwares connus. Ils sont donc structurellement incapables de détecter des attaques inédites (zero-day) qui exploitent des vulnérabilités non encore documentées. Selon le rapport ENISA Threat Landscape 2023, plus de 40% des attaques récentes utilisent des techniques d'obfuscation avancées non détectables par les antivirus classiques.</w:t>
      </w:r>
    </w:p>
    <w:p>
      <w:pPr>
        <w:pStyle w:val="Heading3"/>
        <w:spacing w:after="120" w:before="200"/>
      </w:pPr>
      <w:r>
        <w:rPr>
          <w:rFonts w:ascii="Arial" w:cs="Arial" w:eastAsia="Arial" w:hAnsi="Arial"/>
          <w:b/>
          <w:bCs/>
          <w:color w:val="C55A11"/>
          <w:sz w:val="24"/>
          <w:szCs w:val="24"/>
        </w:rPr>
        <w:t xml:space="preserve">2.2.2 Contournement par obfuscation et polymorphisme</w:t>
      </w:r>
    </w:p>
    <w:p>
      <w:pPr>
        <w:spacing w:after="100" w:before="100" w:line="360"/>
        <w:jc w:val="both"/>
      </w:pPr>
      <w:r>
        <w:rPr>
          <w:rFonts w:ascii="Arial" w:cs="Arial" w:eastAsia="Arial" w:hAnsi="Arial"/>
          <w:color w:val="000000"/>
          <w:sz w:val="22"/>
          <w:szCs w:val="22"/>
        </w:rPr>
        <w:t xml:space="preserve">Les malwares modernes utilisent des techniques sophistiquées pour échapper à la détection statique : chiffrement du code, packing, polymorphisme (modification automatique de la signature à chaque copie) et métamorphisme (réécriture complète du code tout en conservant la même fonctionnalité). Ces techniques rendent les signatures traditionnelles obsolètes en quelques heures après leur création.</w:t>
      </w:r>
    </w:p>
    <w:p>
      <w:pPr>
        <w:pStyle w:val="Heading3"/>
        <w:spacing w:after="120" w:before="200"/>
      </w:pPr>
      <w:r>
        <w:rPr>
          <w:rFonts w:ascii="Arial" w:cs="Arial" w:eastAsia="Arial" w:hAnsi="Arial"/>
          <w:b/>
          <w:bCs/>
          <w:color w:val="C55A11"/>
          <w:sz w:val="24"/>
          <w:szCs w:val="24"/>
        </w:rPr>
        <w:t xml:space="preserve">2.2.3 Taux de faux positifs élevé</w:t>
      </w:r>
    </w:p>
    <w:p>
      <w:pPr>
        <w:spacing w:after="100" w:before="100" w:line="360"/>
        <w:jc w:val="both"/>
      </w:pPr>
      <w:r>
        <w:rPr>
          <w:rFonts w:ascii="Arial" w:cs="Arial" w:eastAsia="Arial" w:hAnsi="Arial"/>
          <w:color w:val="000000"/>
          <w:sz w:val="22"/>
          <w:szCs w:val="22"/>
        </w:rPr>
        <w:t xml:space="preserve">Les approches heuristiques génèrent un taux de faux positifs significatif, identifiant à tort des logiciels légitimes comme malveillants. Ceci surcharge les équipes de sécurité avec des alertes non pertinentes et peut perturber le fonctionnement normal des systèmes d'information.</w:t>
      </w:r>
    </w:p>
    <w:p>
      <w:pPr>
        <w:pStyle w:val="Heading3"/>
        <w:spacing w:after="120" w:before="200"/>
      </w:pPr>
      <w:r>
        <w:rPr>
          <w:rFonts w:ascii="Arial" w:cs="Arial" w:eastAsia="Arial" w:hAnsi="Arial"/>
          <w:b/>
          <w:bCs/>
          <w:color w:val="C55A11"/>
          <w:sz w:val="24"/>
          <w:szCs w:val="24"/>
        </w:rPr>
        <w:t xml:space="preserve">2.2.4 Coût computationnel de l'analyse dynamique</w:t>
      </w:r>
    </w:p>
    <w:p>
      <w:pPr>
        <w:spacing w:after="100" w:before="100" w:line="360"/>
        <w:jc w:val="both"/>
      </w:pPr>
      <w:r>
        <w:rPr>
          <w:rFonts w:ascii="Arial" w:cs="Arial" w:eastAsia="Arial" w:hAnsi="Arial"/>
          <w:color w:val="000000"/>
          <w:sz w:val="22"/>
          <w:szCs w:val="22"/>
        </w:rPr>
        <w:t xml:space="preserve">L'analyse dynamique, bien que plus efficace, est coûteuse en ressources et en temps. L'exécution de chaque fichier suspect dans un sandbox nécessite plusieurs minutes, ce qui la rend inadaptée à une analyse en temps réel à grande échelle. De plus, certains malwares sophistiqués détectent l'environnement sandbox et modifient leur comportement pour éviter la détection.</w:t>
      </w:r>
    </w:p>
    <w:p>
      <w:pPr>
        <w:pStyle w:val="Heading3"/>
        <w:spacing w:after="120" w:before="200"/>
      </w:pPr>
      <w:r>
        <w:rPr>
          <w:rFonts w:ascii="Arial" w:cs="Arial" w:eastAsia="Arial" w:hAnsi="Arial"/>
          <w:b/>
          <w:bCs/>
          <w:color w:val="C55A11"/>
          <w:sz w:val="24"/>
          <w:szCs w:val="24"/>
        </w:rPr>
        <w:t xml:space="preserve">2.2.5 Manque d'interprétabilité</w:t>
      </w:r>
    </w:p>
    <w:p>
      <w:pPr>
        <w:spacing w:after="100" w:before="100" w:line="360"/>
        <w:jc w:val="both"/>
      </w:pPr>
      <w:r>
        <w:rPr>
          <w:rFonts w:ascii="Arial" w:cs="Arial" w:eastAsia="Arial" w:hAnsi="Arial"/>
          <w:color w:val="000000"/>
          <w:sz w:val="22"/>
          <w:szCs w:val="22"/>
        </w:rPr>
        <w:t xml:space="preserve">La majorité des solutions commerciales fonctionnent comme des boîtes noires : elles produisent un verdict (malware/bénin) sans expliquer les caractéristiques qui ont motivé cette décision. Cette absence d'interprétabilité complique le travail des analystes en cybersécurité qui ne peuvent pas valider ou affiner les décisions du système.</w:t>
      </w:r>
    </w:p>
    <w:p>
      <w:r>
        <w:t xml:space="preserve"/>
      </w:r>
    </w:p>
    <w:p>
      <w:pPr>
        <w:pStyle w:val="Heading1"/>
        <w:spacing w:after="200" w:before="300"/>
      </w:pPr>
      <w:r>
        <w:rPr>
          <w:rFonts w:ascii="Arial" w:cs="Arial" w:eastAsia="Arial" w:hAnsi="Arial"/>
          <w:b/>
          <w:bCs/>
          <w:color w:val="1F3864"/>
          <w:sz w:val="32"/>
          <w:szCs w:val="32"/>
        </w:rPr>
        <w:t xml:space="preserve">3. Solution Proposée</w:t>
      </w:r>
    </w:p>
    <w:p>
      <w:pPr>
        <w:pStyle w:val="Heading2"/>
        <w:spacing w:after="160" w:before="240"/>
      </w:pPr>
      <w:r>
        <w:rPr>
          <w:rFonts w:ascii="Arial" w:cs="Arial" w:eastAsia="Arial" w:hAnsi="Arial"/>
          <w:b/>
          <w:bCs/>
          <w:color w:val="2E75B6"/>
          <w:sz w:val="26"/>
          <w:szCs w:val="26"/>
        </w:rPr>
        <w:t xml:space="preserve">3.1 Architecture hybride ML + Deep Learning</w:t>
      </w:r>
    </w:p>
    <w:p>
      <w:pPr>
        <w:spacing w:after="100" w:before="100" w:line="360"/>
        <w:jc w:val="both"/>
      </w:pPr>
      <w:r>
        <w:rPr>
          <w:rFonts w:ascii="Arial" w:cs="Arial" w:eastAsia="Arial" w:hAnsi="Arial"/>
          <w:color w:val="000000"/>
          <w:sz w:val="22"/>
          <w:szCs w:val="22"/>
        </w:rPr>
        <w:t xml:space="preserve">Pour pallier les limitations identifiées, nous proposons un système de détection hybride qui combine l'analyse statique et l'analyse dynamique, enrichie par cinq modèles d'intelligence artificielle complémentaires. Cette approche repose sur deux piliers fondamentaux :</w:t>
      </w:r>
    </w:p>
    <w:p>
      <w:pPr>
        <w:pStyle w:val="ListParagraph"/>
        <w:numPr>
          <w:ilvl w:val="0"/>
          <w:numId w:val="2"/>
        </w:numPr>
        <w:spacing w:after="60" w:before="60" w:line="320"/>
      </w:pPr>
      <w:r>
        <w:rPr>
          <w:rFonts w:ascii="Arial" w:cs="Arial" w:eastAsia="Arial" w:hAnsi="Arial"/>
          <w:color w:val="000000"/>
          <w:sz w:val="22"/>
          <w:szCs w:val="22"/>
        </w:rPr>
        <w:t xml:space="preserve">Analyse statique (EMBER 2018) : extraction de 200 features PE sans exécution du fichier, alimentant trois modèles de Machine Learning (Random Forest, XGBoost, LightGBM) et deux modèles de Deep Learning (CNN1D, FT-Transformer)</w:t>
      </w:r>
    </w:p>
    <w:p>
      <w:pPr>
        <w:pStyle w:val="ListParagraph"/>
        <w:numPr>
          <w:ilvl w:val="0"/>
          <w:numId w:val="2"/>
        </w:numPr>
        <w:spacing w:after="60" w:before="60" w:line="320"/>
      </w:pPr>
      <w:r>
        <w:rPr>
          <w:rFonts w:ascii="Arial" w:cs="Arial" w:eastAsia="Arial" w:hAnsi="Arial"/>
          <w:color w:val="000000"/>
          <w:sz w:val="22"/>
          <w:szCs w:val="22"/>
        </w:rPr>
        <w:t xml:space="preserve">Analyse dynamique (CIC-MalMem 2022 / VirusTotal API) : extraction de 28 features comportementales mémoire, alimentant les mêmes cinq modèles entraînés sur le comportement d'exécution</w:t>
      </w:r>
    </w:p>
    <w:p>
      <w:r>
        <w:t xml:space="preserve"/>
      </w:r>
    </w:p>
    <w:p>
      <w:pPr>
        <w:spacing w:after="100" w:before="100" w:line="360"/>
        <w:jc w:val="both"/>
      </w:pPr>
      <w:r>
        <w:rPr>
          <w:rFonts w:ascii="Arial" w:cs="Arial" w:eastAsia="Arial" w:hAnsi="Arial"/>
          <w:color w:val="000000"/>
          <w:sz w:val="22"/>
          <w:szCs w:val="22"/>
        </w:rPr>
        <w:t xml:space="preserve">La décision finale est prise par un mécanisme de fusion Weighted Vote, qui agrège les prédictions des dix modèles (5 statiques + 5 dynamiques) en leur attribuant des poids proportionnels à leurs performances sur le jeu de validation. Cette stratégie exploite la complémentarité des approches : là où l'analyse statique peut être trompée par l'obfuscation, l'analyse dynamique capture les comportements réels du fichier à l'exécution.</w:t>
      </w:r>
    </w:p>
    <w:p>
      <w:r>
        <w:t xml:space="preserve"/>
      </w:r>
    </w:p>
    <w:p>
      <w:pPr>
        <w:pStyle w:val="Heading2"/>
        <w:spacing w:after="160" w:before="240"/>
      </w:pPr>
      <w:r>
        <w:rPr>
          <w:rFonts w:ascii="Arial" w:cs="Arial" w:eastAsia="Arial" w:hAnsi="Arial"/>
          <w:b/>
          <w:bCs/>
          <w:color w:val="2E75B6"/>
          <w:sz w:val="26"/>
          <w:szCs w:val="26"/>
        </w:rPr>
        <w:t xml:space="preserve">3.2 Composants clés de la solution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Composant</w:t>
            </w:r>
          </w:p>
        </w:tc>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Technologie</w:t>
            </w:r>
          </w:p>
        </w:tc>
        <w:tc>
          <w:tcPr>
            <w:tcW w:type="dxa" w:w="3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 dans le système</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Analyse statique</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EMBER 2018 + lief</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Extraction 200 features PE sans exécution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Analyse dynamique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CIC-MalMem 2022 / VirusTotal API v3</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28 features comportementales mémoire</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Machine Learning</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 XGBoost, LightGBM</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Classification sur données tabulaires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Deep Learning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CNN1D, FT-Transformer</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Capture des patterns complexes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Fusion</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Weighted Vote</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Décision collective pondérée par F1 val set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Explicabilité</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SHAP (TreeExplainer)</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Interprétation des décisions modèles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Stockage cloud</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MinIO (S3-compatible)</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Archivage sécurisé des fichiers bénins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Interface web</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 + Streamlit</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REST + interface utilisateur CyberShield</w:t>
            </w:r>
          </w:p>
        </w:tc>
      </w:tr>
    </w:tbl>
    <w:p>
      <w:pPr>
        <w:spacing w:after="160" w:before="80"/>
        <w:jc w:val="center"/>
      </w:pPr>
      <w:r>
        <w:rPr>
          <w:rFonts w:ascii="Arial" w:cs="Arial" w:eastAsia="Arial" w:hAnsi="Arial"/>
          <w:i/>
          <w:iCs/>
          <w:color w:val="555555"/>
          <w:sz w:val="18"/>
          <w:szCs w:val="18"/>
        </w:rPr>
        <w:t xml:space="preserve">Tableau 1.2 — Composants de la solution proposée</w:t>
      </w:r>
    </w:p>
    <w:p>
      <w:r>
        <w:t xml:space="preserve"/>
      </w:r>
    </w:p>
    <w:p>
      <w:pPr>
        <w:pStyle w:val="Heading2"/>
        <w:spacing w:after="160" w:before="240"/>
      </w:pPr>
      <w:r>
        <w:rPr>
          <w:rFonts w:ascii="Arial" w:cs="Arial" w:eastAsia="Arial" w:hAnsi="Arial"/>
          <w:b/>
          <w:bCs/>
          <w:color w:val="2E75B6"/>
          <w:sz w:val="26"/>
          <w:szCs w:val="26"/>
        </w:rPr>
        <w:t xml:space="preserve">3.3 Apports de la solution proposée</w:t>
      </w:r>
    </w:p>
    <w:p>
      <w:pPr>
        <w:spacing w:after="100" w:before="100" w:line="360"/>
        <w:jc w:val="both"/>
      </w:pPr>
      <w:r>
        <w:rPr>
          <w:rFonts w:ascii="Arial" w:cs="Arial" w:eastAsia="Arial" w:hAnsi="Arial"/>
          <w:color w:val="000000"/>
          <w:sz w:val="22"/>
          <w:szCs w:val="22"/>
        </w:rPr>
        <w:t xml:space="preserve">Notre solution apporte des réponses directes aux critiques identifiées dans l'étude de l'existant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Limitation identifiée</w:t>
            </w:r>
          </w:p>
        </w:tc>
        <w:tc>
          <w:tcPr>
            <w:tcW w:type="dxa" w:w="5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Réponse apportée par notre solution</w:t>
            </w:r>
          </w:p>
        </w:tc>
      </w:tr>
      <w:tr>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Incapacité à détecter les zero-day</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Les modèles ML/DL généralisent au-delà des signatures connues</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Contournement par obfuscation</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L'analyse dynamique capture le comportement réel à l'exécution</w:t>
            </w:r>
          </w:p>
        </w:tc>
      </w:tr>
      <w:tr>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Taux de faux positifs élevé</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Weighted Vote sur 10 modèles réduit les erreurs individuelles</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Coût computationnel élevé</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Pipeline optimisé : analyses statique + dynamique en parallèle</w:t>
            </w:r>
          </w:p>
        </w:tc>
      </w:tr>
      <w:tr>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Manque d'interprétabilité</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SHAP explique la contribution de chaque feature à la décision</w:t>
            </w:r>
          </w:p>
        </w:tc>
      </w:tr>
    </w:tbl>
    <w:p>
      <w:pPr>
        <w:spacing w:after="160" w:before="80"/>
        <w:jc w:val="center"/>
      </w:pPr>
      <w:r>
        <w:rPr>
          <w:rFonts w:ascii="Arial" w:cs="Arial" w:eastAsia="Arial" w:hAnsi="Arial"/>
          <w:i/>
          <w:iCs/>
          <w:color w:val="555555"/>
          <w:sz w:val="18"/>
          <w:szCs w:val="18"/>
        </w:rPr>
        <w:t xml:space="preserve">Tableau 1.3 — Apports de la solution par rapport à l'existant</w:t>
      </w:r>
    </w:p>
    <w:p>
      <w:r>
        <w:t xml:space="preserve"/>
      </w:r>
    </w:p>
    <w:p>
      <w:pPr>
        <w:pStyle w:val="Heading1"/>
        <w:spacing w:after="200" w:before="300"/>
      </w:pPr>
      <w:r>
        <w:rPr>
          <w:rFonts w:ascii="Arial" w:cs="Arial" w:eastAsia="Arial" w:hAnsi="Arial"/>
          <w:b/>
          <w:bCs/>
          <w:color w:val="1F3864"/>
          <w:sz w:val="32"/>
          <w:szCs w:val="32"/>
        </w:rPr>
        <w:t xml:space="preserve">4. Choix de la Méthodologie de Développement</w:t>
      </w:r>
    </w:p>
    <w:p>
      <w:pPr>
        <w:pStyle w:val="Heading2"/>
        <w:spacing w:after="160" w:before="240"/>
      </w:pPr>
      <w:r>
        <w:rPr>
          <w:rFonts w:ascii="Arial" w:cs="Arial" w:eastAsia="Arial" w:hAnsi="Arial"/>
          <w:b/>
          <w:bCs/>
          <w:color w:val="2E75B6"/>
          <w:sz w:val="26"/>
          <w:szCs w:val="26"/>
        </w:rPr>
        <w:t xml:space="preserve">4.1 Comparaison des méthodologies</w:t>
      </w:r>
    </w:p>
    <w:p>
      <w:pPr>
        <w:spacing w:after="100" w:before="100" w:line="360"/>
        <w:jc w:val="both"/>
      </w:pPr>
      <w:r>
        <w:rPr>
          <w:rFonts w:ascii="Arial" w:cs="Arial" w:eastAsia="Arial" w:hAnsi="Arial"/>
          <w:color w:val="000000"/>
          <w:sz w:val="22"/>
          <w:szCs w:val="22"/>
        </w:rPr>
        <w:t xml:space="preserve">Le choix d'une méthodologie de développement adaptée est crucial pour la réussite d'un projet de recherche appliquée. Nous avons évalué les trois principales approches disponibles avant de faire notre choix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Méthodologie</w:t>
            </w:r>
          </w:p>
        </w:tc>
        <w:tc>
          <w:tcPr>
            <w:tcW w:type="dxa" w:w="35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Avantages</w:t>
            </w:r>
          </w:p>
        </w:tc>
        <w:tc>
          <w:tcPr>
            <w:tcW w:type="dxa" w:w="35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Inconvénients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Cascade (Waterfall)</w:t>
            </w:r>
          </w:p>
        </w:tc>
        <w:tc>
          <w:tcPr>
            <w:tcW w:type="dxa" w:w="35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Simple, bien documentée, phases distinctes</w:t>
            </w:r>
          </w:p>
        </w:tc>
        <w:tc>
          <w:tcPr>
            <w:tcW w:type="dxa" w:w="35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Rigide, retour arrière difficile, inadaptée aux projets IA itératifs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Agile (Scrum)</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Flexible, livraisons incrémentales, adaptation aux changements</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Nécessite une équipe, réunions fréquentes, documentation allégée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CRISP-DM</w:t>
            </w:r>
          </w:p>
        </w:tc>
        <w:tc>
          <w:tcPr>
            <w:tcW w:type="dxa" w:w="35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Spécialisée Data Science/ML, processus itératif, phases claires</w:t>
            </w:r>
          </w:p>
        </w:tc>
        <w:tc>
          <w:tcPr>
            <w:tcW w:type="dxa" w:w="35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Moins adaptée aux projets avec composante logicielle forte</w:t>
            </w:r>
          </w:p>
        </w:tc>
      </w:tr>
    </w:tbl>
    <w:p>
      <w:pPr>
        <w:spacing w:after="160" w:before="80"/>
        <w:jc w:val="center"/>
      </w:pPr>
      <w:r>
        <w:rPr>
          <w:rFonts w:ascii="Arial" w:cs="Arial" w:eastAsia="Arial" w:hAnsi="Arial"/>
          <w:i/>
          <w:iCs/>
          <w:color w:val="555555"/>
          <w:sz w:val="18"/>
          <w:szCs w:val="18"/>
        </w:rPr>
        <w:t xml:space="preserve">Tableau 1.4 — Comparaison des méthodologies de développement</w:t>
      </w:r>
    </w:p>
    <w:p>
      <w:r>
        <w:t xml:space="preserve"/>
      </w:r>
    </w:p>
    <w:p>
      <w:pPr>
        <w:pStyle w:val="Heading2"/>
        <w:spacing w:after="160" w:before="240"/>
      </w:pPr>
      <w:r>
        <w:rPr>
          <w:rFonts w:ascii="Arial" w:cs="Arial" w:eastAsia="Arial" w:hAnsi="Arial"/>
          <w:b/>
          <w:bCs/>
          <w:color w:val="2E75B6"/>
          <w:sz w:val="26"/>
          <w:szCs w:val="26"/>
        </w:rPr>
        <w:t xml:space="preserve">4.2 Méthodologie retenue : approche itérative par phases</w:t>
      </w:r>
    </w:p>
    <w:p>
      <w:pPr>
        <w:spacing w:after="100" w:before="100" w:line="360"/>
        <w:jc w:val="both"/>
      </w:pPr>
      <w:r>
        <w:rPr>
          <w:rFonts w:ascii="Arial" w:cs="Arial" w:eastAsia="Arial" w:hAnsi="Arial"/>
          <w:color w:val="000000"/>
          <w:sz w:val="22"/>
          <w:szCs w:val="22"/>
        </w:rPr>
        <w:t xml:space="preserve">Compte tenu de la nature hybride de notre projet — à la fois projet de recherche en Machine Learning et développement d'une application web — nous avons adopté une méthodologie itérative par phases, inspirée de CRISP-DM tout en intégrant des principes Agile pour la partie développement logiciel.</w:t>
      </w:r>
    </w:p>
    <w:p>
      <w:pPr>
        <w:spacing w:after="100" w:before="100" w:line="360"/>
        <w:jc w:val="both"/>
      </w:pPr>
      <w:r>
        <w:rPr>
          <w:rFonts w:ascii="Arial" w:cs="Arial" w:eastAsia="Arial" w:hAnsi="Arial"/>
          <w:color w:val="000000"/>
          <w:sz w:val="22"/>
          <w:szCs w:val="22"/>
        </w:rPr>
        <w:t xml:space="preserve">Cette approche se décompose en cinq phases successives et interdépendantes, chacune produisant des artefacts réutilisables par les phases suivantes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Intitulé</w:t>
            </w:r>
          </w:p>
        </w:tc>
        <w:tc>
          <w:tcPr>
            <w:tcW w:type="dxa" w:w="56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Objectif et livrables</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Phase 1</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Preprocessing</w:t>
            </w:r>
          </w:p>
        </w:tc>
        <w:tc>
          <w:tcPr>
            <w:tcW w:type="dxa" w:w="5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Nettoyage, normalisation, sélection de features — livrables : datasets .npy, scaler.pkl, selector.pkl</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Phase 2</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Modèles ML</w:t>
            </w:r>
          </w:p>
        </w:tc>
        <w:tc>
          <w:tcPr>
            <w:tcW w:type="dxa" w:w="5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Entraînement RF, XGBoost, LightGBM + tuning Optuna + SHAP — livrables : modèles .pkl</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Phase 3</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Modèles DL</w:t>
            </w:r>
          </w:p>
        </w:tc>
        <w:tc>
          <w:tcPr>
            <w:tcW w:type="dxa" w:w="5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Architecture CNN1D et FT-Transformer + entraînement — livrables : modèles .keras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Phase 4</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Fusion</w:t>
            </w:r>
          </w:p>
        </w:tc>
        <w:tc>
          <w:tcPr>
            <w:tcW w:type="dxa" w:w="5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Hard Vote, Soft Vote, Weighted Vote — livrables : prédictions .npy, résultats CSV</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Phase 5</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Interface Web</w:t>
            </w:r>
          </w:p>
        </w:tc>
        <w:tc>
          <w:tcPr>
            <w:tcW w:type="dxa" w:w="5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 + Streamlit CyberShield + MinIO + VirusTotal — livrable : application déployable</w:t>
            </w:r>
          </w:p>
        </w:tc>
      </w:tr>
    </w:tbl>
    <w:p>
      <w:pPr>
        <w:spacing w:after="160" w:before="80"/>
        <w:jc w:val="center"/>
      </w:pPr>
      <w:r>
        <w:rPr>
          <w:rFonts w:ascii="Arial" w:cs="Arial" w:eastAsia="Arial" w:hAnsi="Arial"/>
          <w:i/>
          <w:iCs/>
          <w:color w:val="555555"/>
          <w:sz w:val="18"/>
          <w:szCs w:val="18"/>
        </w:rPr>
        <w:t xml:space="preserve">Tableau 1.5 — Phases de développement du projet</w:t>
      </w:r>
    </w:p>
    <w:p>
      <w:r>
        <w:t xml:space="preserve"/>
      </w:r>
    </w:p>
    <w:p>
      <w:pPr>
        <w:pStyle w:val="Heading1"/>
        <w:spacing w:after="200" w:before="300"/>
      </w:pPr>
      <w:r>
        <w:rPr>
          <w:rFonts w:ascii="Arial" w:cs="Arial" w:eastAsia="Arial" w:hAnsi="Arial"/>
          <w:b/>
          <w:bCs/>
          <w:color w:val="1F3864"/>
          <w:sz w:val="32"/>
          <w:szCs w:val="32"/>
        </w:rPr>
        <w:t xml:space="preserve">5. Planning Prévisionnel</w:t>
      </w:r>
    </w:p>
    <w:p>
      <w:pPr>
        <w:pStyle w:val="Heading2"/>
        <w:spacing w:after="160" w:before="240"/>
      </w:pPr>
      <w:r>
        <w:rPr>
          <w:rFonts w:ascii="Arial" w:cs="Arial" w:eastAsia="Arial" w:hAnsi="Arial"/>
          <w:b/>
          <w:bCs/>
          <w:color w:val="2E75B6"/>
          <w:sz w:val="26"/>
          <w:szCs w:val="26"/>
        </w:rPr>
        <w:t xml:space="preserve">5.1 Diagramme de Gantt</w:t>
      </w:r>
    </w:p>
    <w:p>
      <w:pPr>
        <w:spacing w:after="100" w:before="100" w:line="360"/>
        <w:jc w:val="both"/>
      </w:pPr>
      <w:r>
        <w:rPr>
          <w:rFonts w:ascii="Arial" w:cs="Arial" w:eastAsia="Arial" w:hAnsi="Arial"/>
          <w:color w:val="000000"/>
          <w:sz w:val="22"/>
          <w:szCs w:val="22"/>
        </w:rPr>
        <w:t xml:space="preserve">Le planning prévisionnel du projet a été structuré sur une période de quatre mois, de janvier à mai 2026. Chaque phase est planifiée de manière séquentielle avec des chevauchements mineurs permettant la validation continue des résultats.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900"/>
        <w:gridCol w:w="900"/>
        <w:gridCol w:w="900"/>
        <w:gridCol w:w="900"/>
        <w:gridCol w:w="900"/>
        <w:gridCol w:w="900"/>
        <w:gridCol w:w="9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 Tâche</w:t>
            </w:r>
          </w:p>
        </w:tc>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Jan S1</w:t>
            </w:r>
          </w:p>
        </w:tc>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Jan S2</w:t>
            </w:r>
          </w:p>
        </w:tc>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Fév S1</w:t>
            </w:r>
          </w:p>
        </w:tc>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Fév S2</w:t>
            </w:r>
          </w:p>
        </w:tc>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 S1</w:t>
            </w:r>
          </w:p>
        </w:tc>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 S2</w:t>
            </w:r>
          </w:p>
        </w:tc>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Avr S1</w:t>
            </w:r>
          </w:p>
        </w:tc>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Avr S2</w:t>
            </w:r>
          </w:p>
        </w:tc>
        <w:tc>
          <w:tcPr>
            <w:tcW w:type="dxa" w:w="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Mai</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Phase 1 : Preprocessing</w:t>
            </w:r>
          </w:p>
        </w:tc>
        <w:tc>
          <w:tcPr>
            <w:tcW w:type="dxa" w:w="9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t xml:space="preserve"/>
            </w:r>
          </w:p>
        </w:tc>
        <w:tc>
          <w:tcPr>
            <w:tcW w:type="dxa" w:w="9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t xml:space="preserve"/>
            </w:r>
          </w:p>
        </w:tc>
        <w:tc>
          <w:tcPr>
            <w:tcW w:type="dxa" w:w="9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t xml:space="preserve"/>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Phase 2 : Modèles ML</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27AE60" w:val="clear"/>
            <w:tcMar>
              <w:top w:type="dxa" w:w="80"/>
              <w:left w:type="dxa" w:w="120"/>
              <w:bottom w:type="dxa" w:w="80"/>
              <w:right w:type="dxa" w:w="120"/>
            </w:tcMar>
          </w:tcPr>
          <w:p>
            <w:r>
              <w:t xml:space="preserve"/>
            </w:r>
          </w:p>
        </w:tc>
        <w:tc>
          <w:tcPr>
            <w:tcW w:type="dxa" w:w="900"/>
            <w:tcBorders>
              <w:top w:val="single" w:color="BBBBBB" w:sz="1"/>
              <w:left w:val="single" w:color="BBBBBB" w:sz="1"/>
              <w:bottom w:val="single" w:color="BBBBBB" w:sz="1"/>
              <w:right w:val="single" w:color="BBBBBB" w:sz="1"/>
            </w:tcBorders>
            <w:shd w:fill="27AE60" w:val="clear"/>
            <w:tcMar>
              <w:top w:type="dxa" w:w="80"/>
              <w:left w:type="dxa" w:w="120"/>
              <w:bottom w:type="dxa" w:w="80"/>
              <w:right w:type="dxa" w:w="120"/>
            </w:tcMar>
          </w:tcPr>
          <w:p>
            <w:r>
              <w:t xml:space="preserve"/>
            </w:r>
          </w:p>
        </w:tc>
        <w:tc>
          <w:tcPr>
            <w:tcW w:type="dxa" w:w="900"/>
            <w:tcBorders>
              <w:top w:val="single" w:color="BBBBBB" w:sz="1"/>
              <w:left w:val="single" w:color="BBBBBB" w:sz="1"/>
              <w:bottom w:val="single" w:color="BBBBBB" w:sz="1"/>
              <w:right w:val="single" w:color="BBBBBB" w:sz="1"/>
            </w:tcBorders>
            <w:shd w:fill="27AE60" w:val="clear"/>
            <w:tcMar>
              <w:top w:type="dxa" w:w="80"/>
              <w:left w:type="dxa" w:w="120"/>
              <w:bottom w:type="dxa" w:w="80"/>
              <w:right w:type="dxa" w:w="120"/>
            </w:tcMar>
          </w:tcPr>
          <w:p>
            <w:r>
              <w:t xml:space="preserve"/>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Phase 3 : Modèles DL</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E67E22" w:val="clear"/>
            <w:tcMar>
              <w:top w:type="dxa" w:w="80"/>
              <w:left w:type="dxa" w:w="120"/>
              <w:bottom w:type="dxa" w:w="80"/>
              <w:right w:type="dxa" w:w="120"/>
            </w:tcMar>
          </w:tcPr>
          <w:p>
            <w:r>
              <w:t xml:space="preserve"/>
            </w:r>
          </w:p>
        </w:tc>
        <w:tc>
          <w:tcPr>
            <w:tcW w:type="dxa" w:w="900"/>
            <w:tcBorders>
              <w:top w:val="single" w:color="BBBBBB" w:sz="1"/>
              <w:left w:val="single" w:color="BBBBBB" w:sz="1"/>
              <w:bottom w:val="single" w:color="BBBBBB" w:sz="1"/>
              <w:right w:val="single" w:color="BBBBBB" w:sz="1"/>
            </w:tcBorders>
            <w:shd w:fill="E67E22" w:val="clear"/>
            <w:tcMar>
              <w:top w:type="dxa" w:w="80"/>
              <w:left w:type="dxa" w:w="120"/>
              <w:bottom w:type="dxa" w:w="80"/>
              <w:right w:type="dxa" w:w="120"/>
            </w:tcMar>
          </w:tcPr>
          <w:p>
            <w:r>
              <w:t xml:space="preserve"/>
            </w:r>
          </w:p>
        </w:tc>
        <w:tc>
          <w:tcPr>
            <w:tcW w:type="dxa" w:w="900"/>
            <w:tcBorders>
              <w:top w:val="single" w:color="BBBBBB" w:sz="1"/>
              <w:left w:val="single" w:color="BBBBBB" w:sz="1"/>
              <w:bottom w:val="single" w:color="BBBBBB" w:sz="1"/>
              <w:right w:val="single" w:color="BBBBBB" w:sz="1"/>
            </w:tcBorders>
            <w:shd w:fill="E67E22" w:val="clear"/>
            <w:tcMar>
              <w:top w:type="dxa" w:w="80"/>
              <w:left w:type="dxa" w:w="120"/>
              <w:bottom w:type="dxa" w:w="80"/>
              <w:right w:type="dxa" w:w="120"/>
            </w:tcMar>
          </w:tcPr>
          <w:p>
            <w:r>
              <w:t xml:space="preserve"/>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Phase 4 : Fusion &amp; Vote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8E44AD" w:val="clear"/>
            <w:tcMar>
              <w:top w:type="dxa" w:w="80"/>
              <w:left w:type="dxa" w:w="120"/>
              <w:bottom w:type="dxa" w:w="80"/>
              <w:right w:type="dxa" w:w="120"/>
            </w:tcMar>
          </w:tcPr>
          <w:p>
            <w:r>
              <w:t xml:space="preserve"/>
            </w:r>
          </w:p>
        </w:tc>
        <w:tc>
          <w:tcPr>
            <w:tcW w:type="dxa" w:w="900"/>
            <w:tcBorders>
              <w:top w:val="single" w:color="BBBBBB" w:sz="1"/>
              <w:left w:val="single" w:color="BBBBBB" w:sz="1"/>
              <w:bottom w:val="single" w:color="BBBBBB" w:sz="1"/>
              <w:right w:val="single" w:color="BBBBBB" w:sz="1"/>
            </w:tcBorders>
            <w:shd w:fill="8E44AD" w:val="clear"/>
            <w:tcMar>
              <w:top w:type="dxa" w:w="80"/>
              <w:left w:type="dxa" w:w="120"/>
              <w:bottom w:type="dxa" w:w="80"/>
              <w:right w:type="dxa" w:w="120"/>
            </w:tcMar>
          </w:tcPr>
          <w:p>
            <w:r>
              <w:t xml:space="preserve"/>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Phase 5 : Interface Web</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tcPr>
          <w:p>
            <w:r>
              <w:t xml:space="preserve"/>
            </w:r>
          </w:p>
        </w:tc>
        <w:tc>
          <w:tcPr>
            <w:tcW w:type="dxa" w:w="90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tcPr>
          <w:p>
            <w:r>
              <w:t xml:space="preserve"/>
            </w:r>
          </w:p>
        </w:tc>
        <w:tc>
          <w:tcPr>
            <w:tcW w:type="dxa" w:w="96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tcPr>
          <w:p>
            <w:r>
              <w:t xml:space="preserve"/>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Rédaction rapport</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BBBBBB" w:sz="1"/>
              <w:left w:val="single" w:color="BBBBBB" w:sz="1"/>
              <w:bottom w:val="single" w:color="BBBBBB" w:sz="1"/>
              <w:right w:val="single" w:color="BBBBBB" w:sz="1"/>
            </w:tcBorders>
            <w:shd w:fill="1A2744" w:val="clear"/>
            <w:tcMar>
              <w:top w:type="dxa" w:w="80"/>
              <w:left w:type="dxa" w:w="120"/>
              <w:bottom w:type="dxa" w:w="80"/>
              <w:right w:type="dxa" w:w="120"/>
            </w:tcMar>
          </w:tcPr>
          <w:p>
            <w:r>
              <w:t xml:space="preserve"/>
            </w:r>
          </w:p>
        </w:tc>
        <w:tc>
          <w:tcPr>
            <w:tcW w:type="dxa" w:w="960"/>
            <w:tcBorders>
              <w:top w:val="single" w:color="BBBBBB" w:sz="1"/>
              <w:left w:val="single" w:color="BBBBBB" w:sz="1"/>
              <w:bottom w:val="single" w:color="BBBBBB" w:sz="1"/>
              <w:right w:val="single" w:color="BBBBBB" w:sz="1"/>
            </w:tcBorders>
            <w:shd w:fill="1A2744" w:val="clear"/>
            <w:tcMar>
              <w:top w:type="dxa" w:w="80"/>
              <w:left w:type="dxa" w:w="120"/>
              <w:bottom w:type="dxa" w:w="80"/>
              <w:right w:type="dxa" w:w="120"/>
            </w:tcMar>
          </w:tcPr>
          <w:p>
            <w:r>
              <w:t xml:space="preserve"/>
            </w:r>
          </w:p>
        </w:tc>
      </w:tr>
    </w:tbl>
    <w:p>
      <w:pPr>
        <w:spacing w:after="160" w:before="80"/>
        <w:jc w:val="center"/>
      </w:pPr>
      <w:r>
        <w:rPr>
          <w:rFonts w:ascii="Arial" w:cs="Arial" w:eastAsia="Arial" w:hAnsi="Arial"/>
          <w:i/>
          <w:iCs/>
          <w:color w:val="555555"/>
          <w:sz w:val="18"/>
          <w:szCs w:val="18"/>
        </w:rPr>
        <w:t xml:space="preserve">Figure 1.1 — Diagramme de Gantt du projet PFA (Janvier — Mai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center"/>
            </w:pPr>
            <w:r>
              <w:rPr>
                <w:rFonts w:ascii="Arial" w:cs="Arial" w:eastAsia="Arial" w:hAnsi="Arial"/>
                <w:color w:val="FFFFFF"/>
                <w:sz w:val="18"/>
                <w:szCs w:val="18"/>
              </w:rPr>
              <w:t xml:space="preserve">Phase 1</w:t>
            </w:r>
          </w:p>
        </w:tc>
        <w:tc>
          <w:tcPr>
            <w:tcW w:type="dxa" w:w="156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pPr>
              <w:jc w:val="center"/>
            </w:pPr>
            <w:r>
              <w:rPr>
                <w:rFonts w:ascii="Arial" w:cs="Arial" w:eastAsia="Arial" w:hAnsi="Arial"/>
                <w:color w:val="FFFFFF"/>
                <w:sz w:val="18"/>
                <w:szCs w:val="18"/>
              </w:rPr>
              <w:t xml:space="preserve">Phase 2</w:t>
            </w:r>
          </w:p>
        </w:tc>
        <w:tc>
          <w:tcPr>
            <w:tcW w:type="dxa" w:w="1560"/>
            <w:tcBorders>
              <w:top w:val="single" w:color="BBBBBB" w:sz="1"/>
              <w:left w:val="single" w:color="BBBBBB" w:sz="1"/>
              <w:bottom w:val="single" w:color="BBBBBB" w:sz="1"/>
              <w:right w:val="single" w:color="BBBBBB" w:sz="1"/>
            </w:tcBorders>
            <w:shd w:fill="E67E22" w:val="clear"/>
            <w:tcMar>
              <w:top w:type="dxa" w:w="60"/>
              <w:left w:type="dxa" w:w="100"/>
              <w:bottom w:type="dxa" w:w="60"/>
              <w:right w:type="dxa" w:w="100"/>
            </w:tcMar>
          </w:tcPr>
          <w:p>
            <w:pPr>
              <w:jc w:val="center"/>
            </w:pPr>
            <w:r>
              <w:rPr>
                <w:rFonts w:ascii="Arial" w:cs="Arial" w:eastAsia="Arial" w:hAnsi="Arial"/>
                <w:color w:val="FFFFFF"/>
                <w:sz w:val="18"/>
                <w:szCs w:val="18"/>
              </w:rPr>
              <w:t xml:space="preserve">Phase 3</w:t>
            </w:r>
          </w:p>
        </w:tc>
        <w:tc>
          <w:tcPr>
            <w:tcW w:type="dxa" w:w="1560"/>
            <w:tcBorders>
              <w:top w:val="single" w:color="BBBBBB" w:sz="1"/>
              <w:left w:val="single" w:color="BBBBBB" w:sz="1"/>
              <w:bottom w:val="single" w:color="BBBBBB" w:sz="1"/>
              <w:right w:val="single" w:color="BBBBBB" w:sz="1"/>
            </w:tcBorders>
            <w:shd w:fill="8E44AD" w:val="clear"/>
            <w:tcMar>
              <w:top w:type="dxa" w:w="60"/>
              <w:left w:type="dxa" w:w="100"/>
              <w:bottom w:type="dxa" w:w="60"/>
              <w:right w:type="dxa" w:w="100"/>
            </w:tcMar>
          </w:tcPr>
          <w:p>
            <w:pPr>
              <w:jc w:val="center"/>
            </w:pPr>
            <w:r>
              <w:rPr>
                <w:rFonts w:ascii="Arial" w:cs="Arial" w:eastAsia="Arial" w:hAnsi="Arial"/>
                <w:color w:val="FFFFFF"/>
                <w:sz w:val="18"/>
                <w:szCs w:val="18"/>
              </w:rPr>
              <w:t xml:space="preserve">Phase 4</w:t>
            </w:r>
          </w:p>
        </w:tc>
        <w:tc>
          <w:tcPr>
            <w:tcW w:type="dxa" w:w="1560"/>
            <w:tcBorders>
              <w:top w:val="single" w:color="BBBBBB" w:sz="1"/>
              <w:left w:val="single" w:color="BBBBBB" w:sz="1"/>
              <w:bottom w:val="single" w:color="BBBBBB" w:sz="1"/>
              <w:right w:val="single" w:color="BBBBBB" w:sz="1"/>
            </w:tcBorders>
            <w:shd w:fill="C0392B" w:val="clear"/>
            <w:tcMar>
              <w:top w:type="dxa" w:w="60"/>
              <w:left w:type="dxa" w:w="100"/>
              <w:bottom w:type="dxa" w:w="60"/>
              <w:right w:type="dxa" w:w="100"/>
            </w:tcMar>
          </w:tcPr>
          <w:p>
            <w:pPr>
              <w:jc w:val="center"/>
            </w:pPr>
            <w:r>
              <w:rPr>
                <w:rFonts w:ascii="Arial" w:cs="Arial" w:eastAsia="Arial" w:hAnsi="Arial"/>
                <w:color w:val="FFFFFF"/>
                <w:sz w:val="18"/>
                <w:szCs w:val="18"/>
              </w:rPr>
              <w:t xml:space="preserve">Phase 5</w:t>
            </w:r>
          </w:p>
        </w:tc>
        <w:tc>
          <w:tcPr>
            <w:tcW w:type="dxa" w:w="1560"/>
            <w:tcBorders>
              <w:top w:val="single" w:color="BBBBBB" w:sz="1"/>
              <w:left w:val="single" w:color="BBBBBB" w:sz="1"/>
              <w:bottom w:val="single" w:color="BBBBBB" w:sz="1"/>
              <w:right w:val="single" w:color="BBBBBB" w:sz="1"/>
            </w:tcBorders>
            <w:shd w:fill="1A2744" w:val="clear"/>
            <w:tcMar>
              <w:top w:type="dxa" w:w="60"/>
              <w:left w:type="dxa" w:w="100"/>
              <w:bottom w:type="dxa" w:w="60"/>
              <w:right w:type="dxa" w:w="100"/>
            </w:tcMar>
          </w:tcPr>
          <w:p>
            <w:pPr>
              <w:jc w:val="center"/>
            </w:pPr>
            <w:r>
              <w:rPr>
                <w:rFonts w:ascii="Arial" w:cs="Arial" w:eastAsia="Arial" w:hAnsi="Arial"/>
                <w:color w:val="FFFFFF"/>
                <w:sz w:val="18"/>
                <w:szCs w:val="18"/>
              </w:rPr>
              <w:t xml:space="preserve">Rédaction</w:t>
            </w:r>
          </w:p>
        </w:tc>
      </w:tr>
    </w:tbl>
    <w:p>
      <w:r>
        <w:t xml:space="preserve"/>
      </w:r>
    </w:p>
    <w:p>
      <w:r>
        <w:t xml:space="preserve"/>
      </w:r>
    </w:p>
    <w:p>
      <w:pPr>
        <w:pStyle w:val="Heading2"/>
        <w:spacing w:after="160" w:before="240"/>
      </w:pPr>
      <w:r>
        <w:rPr>
          <w:rFonts w:ascii="Arial" w:cs="Arial" w:eastAsia="Arial" w:hAnsi="Arial"/>
          <w:b/>
          <w:bCs/>
          <w:color w:val="2E75B6"/>
          <w:sz w:val="26"/>
          <w:szCs w:val="26"/>
        </w:rPr>
        <w:t xml:space="preserve">5.2 Environnement de développement</w:t>
      </w:r>
    </w:p>
    <w:p>
      <w:pPr>
        <w:spacing w:after="100" w:before="100" w:line="360"/>
        <w:jc w:val="both"/>
      </w:pPr>
      <w:r>
        <w:rPr>
          <w:rFonts w:ascii="Arial" w:cs="Arial" w:eastAsia="Arial" w:hAnsi="Arial"/>
          <w:color w:val="000000"/>
          <w:sz w:val="22"/>
          <w:szCs w:val="22"/>
        </w:rPr>
        <w:t xml:space="preserve">Le projet a été développé dans l'environnement matériel et logiciel suivant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Catégorie</w:t>
            </w:r>
          </w:p>
        </w:tc>
        <w:tc>
          <w:tcPr>
            <w:tcW w:type="dxa" w:w="3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Composant</w:t>
            </w:r>
          </w:p>
        </w:tc>
        <w:tc>
          <w:tcPr>
            <w:tcW w:type="dxa" w:w="3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Spécification</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Matériel</w:t>
            </w:r>
          </w:p>
        </w:tc>
        <w:tc>
          <w:tcPr>
            <w:tcW w:type="dxa" w:w="3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Processeur</w:t>
            </w:r>
          </w:p>
        </w:tc>
        <w:tc>
          <w:tcPr>
            <w:tcW w:type="dxa" w:w="3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Intel Core i7-14700HX (20 cœurs, 28 threads)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GPU</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NVIDIA RTX 4070 (5888 CUDA cores, 8 GB VRAM)</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3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RAM</w:t>
            </w:r>
          </w:p>
        </w:tc>
        <w:tc>
          <w:tcPr>
            <w:tcW w:type="dxa" w:w="3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32 GB DDR5</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Stockage</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SSD NVMe 1 TB</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Logiciel</w:t>
            </w:r>
          </w:p>
        </w:tc>
        <w:tc>
          <w:tcPr>
            <w:tcW w:type="dxa" w:w="3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Système d'exploitation</w:t>
            </w:r>
          </w:p>
        </w:tc>
        <w:tc>
          <w:tcPr>
            <w:tcW w:type="dxa" w:w="3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Windows 11 64-bit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Environnement Python</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Anaconda — Python 3.10 (malware_env)</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3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 / Notebook</w:t>
            </w:r>
          </w:p>
        </w:tc>
        <w:tc>
          <w:tcPr>
            <w:tcW w:type="dxa" w:w="3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Jupyter Notebook (Phases 1-4), VS Code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Contrôle de version</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Git / GitHub</w:t>
            </w:r>
          </w:p>
        </w:tc>
      </w:tr>
    </w:tbl>
    <w:p>
      <w:pPr>
        <w:spacing w:after="160" w:before="80"/>
        <w:jc w:val="center"/>
      </w:pPr>
      <w:r>
        <w:rPr>
          <w:rFonts w:ascii="Arial" w:cs="Arial" w:eastAsia="Arial" w:hAnsi="Arial"/>
          <w:i/>
          <w:iCs/>
          <w:color w:val="555555"/>
          <w:sz w:val="18"/>
          <w:szCs w:val="18"/>
        </w:rPr>
        <w:t xml:space="preserve">Tableau 1.6 — Environnement de développement</w:t>
      </w:r>
    </w:p>
    <w:p>
      <w:r>
        <w:t xml:space="preserve"/>
      </w:r>
    </w:p>
    <w:p>
      <w:r>
        <w:t xml:space="preserve"/>
      </w:r>
    </w:p>
    <w:p>
      <w:pPr>
        <w:pStyle w:val="Heading1"/>
        <w:spacing w:after="200" w:before="300"/>
      </w:pPr>
      <w:r>
        <w:rPr>
          <w:rFonts w:ascii="Arial" w:cs="Arial" w:eastAsia="Arial" w:hAnsi="Arial"/>
          <w:b/>
          <w:bCs/>
          <w:color w:val="1F3864"/>
          <w:sz w:val="32"/>
          <w:szCs w:val="32"/>
        </w:rPr>
        <w:t xml:space="preserve">6. Conclusion</w:t>
      </w:r>
    </w:p>
    <w:p>
      <w:pPr>
        <w:spacing w:after="100" w:before="100" w:line="360"/>
        <w:jc w:val="both"/>
      </w:pPr>
      <w:r>
        <w:rPr>
          <w:rFonts w:ascii="Arial" w:cs="Arial" w:eastAsia="Arial" w:hAnsi="Arial"/>
          <w:color w:val="000000"/>
          <w:sz w:val="22"/>
          <w:szCs w:val="22"/>
        </w:rPr>
        <w:t xml:space="preserve">Ce premier chapitre a posé les fondations conceptuelles et organisationnelles de notre projet. L'étude de l'existant a mis en évidence les limitations structurelles des approches traditionnelles de détection de malwares, notamment leur incapacité à faire face aux menaces zero-day, à l'obfuscation, et leur manque d'interprétabilité.</w:t>
      </w:r>
    </w:p>
    <w:p>
      <w:pPr>
        <w:spacing w:after="100" w:before="100" w:line="360"/>
        <w:jc w:val="both"/>
      </w:pPr>
      <w:r>
        <w:rPr>
          <w:rFonts w:ascii="Arial" w:cs="Arial" w:eastAsia="Arial" w:hAnsi="Arial"/>
          <w:color w:val="000000"/>
          <w:sz w:val="22"/>
          <w:szCs w:val="22"/>
        </w:rPr>
        <w:t xml:space="preserve">Face à ces défis, nous avons proposé un système hybride innovant combinant l'analyse statique (basée sur les features PE extraites par le pipeline EMBER 2018) et l'analyse dynamique (basée sur les features comportementales mémoire de CIC-MalMem 2022), enrichie par cinq modèles d'intelligence artificielle complémentaires et un mécanisme de fusion Weighted Vote.</w:t>
      </w:r>
    </w:p>
    <w:p>
      <w:pPr>
        <w:spacing w:after="100" w:before="100" w:line="360"/>
        <w:jc w:val="both"/>
      </w:pPr>
      <w:r>
        <w:rPr>
          <w:rFonts w:ascii="Arial" w:cs="Arial" w:eastAsia="Arial" w:hAnsi="Arial"/>
          <w:color w:val="000000"/>
          <w:sz w:val="22"/>
          <w:szCs w:val="22"/>
        </w:rPr>
        <w:t xml:space="preserve">La méthodologie itérative par phases adoptée, combinant les principes de CRISP-DM et d'Agile, permet une progression structurée avec des validations continues à chaque étape. Le planning prévisionnel sur quatre mois couvre l'ensemble des cinq phases du projet, de la préparation des données jusqu'au déploiement de l'interface web CyberShield.</w:t>
      </w:r>
    </w:p>
    <w:p>
      <w:pPr>
        <w:spacing w:after="100" w:before="100" w:line="360"/>
        <w:jc w:val="both"/>
      </w:pPr>
      <w:r>
        <w:rPr>
          <w:rFonts w:ascii="Arial" w:cs="Arial" w:eastAsia="Arial" w:hAnsi="Arial"/>
          <w:color w:val="000000"/>
          <w:sz w:val="22"/>
          <w:szCs w:val="22"/>
        </w:rPr>
        <w:t xml:space="preserve">Le chapitre suivant approfondira la spécification des besoins du système, en détaillant les acteurs impliqués, les cas d'utilisation et les exigences fonctionnelles et non fonctionnelles qui guideront la conception du système.</w:t>
      </w:r>
    </w:p>
    <w:sectPr>
      <w:headerReference w:type="default" r:id="rId7"/>
      <w:footerReference w:type="default" r:id="rId8"/>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888888"/>
        <w:sz w:val="16"/>
        <w:szCs w:val="16"/>
      </w:rPr>
      <w:t xml:space="preserve">Approche Hybride pour la Détection de Malwares — ML &amp; Deep Learning     |     </w:t>
    </w:r>
    <w:r>
      <w:rPr>
        <w:rFonts w:ascii="Arial" w:cs="Arial" w:eastAsia="Arial" w:hAnsi="Arial"/>
        <w:b/>
        <w:bCs/>
        <w:color w:val="2E75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i/>
        <w:iCs/>
        <w:color w:val="2E75B6"/>
        <w:sz w:val="18"/>
        <w:szCs w:val="18"/>
      </w:rPr>
      <w:t xml:space="preserve">Chapitre 1 : Présentation du cadre de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2026-05-17T00:05:54.612Z</dcterms:created>
  <dcterms:modified xsi:type="dcterms:W3CDTF">2026-05-17T00:05:54.613Z</dcterms:modified>
</cp:coreProperties>
</file>

<file path=docProps/custom.xml><?xml version="1.0" encoding="utf-8"?>
<Properties xmlns="http://schemas.openxmlformats.org/officeDocument/2006/custom-properties" xmlns:vt="http://schemas.openxmlformats.org/officeDocument/2006/docPropsVTypes"/>
</file>