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Dival Intelligence Platform (DIP)</w:t>
      </w:r>
    </w:p>
    <w:p>
      <w:pPr>
        <w:jc w:val="center"/>
      </w:pPr>
      <w:r>
        <w:rPr>
          <w:b/>
          <w:sz w:val="36"/>
        </w:rPr>
        <w:t>Execution Blueprint &amp; Product Roadmap</w:t>
      </w:r>
    </w:p>
    <w:p>
      <w:pPr>
        <w:jc w:val="center"/>
      </w:pPr>
      <w:r>
        <w:rPr>
          <w:i/>
        </w:rPr>
        <w:t>Bilingual National Risk, Identity &amp; Institutional Intelligence Platform</w:t>
        <w:br/>
      </w:r>
      <w:r>
        <w:t>Version 1.0 · August 2026</w:t>
      </w:r>
    </w:p>
    <w:p/>
    <w:tbl>
      <w:tblPr>
        <w:tblStyle w:val="TableGrid"/>
        <w:tblW w:type="auto" w:w="0"/>
        <w:jc w:val="center"/>
        <w:tblLook w:firstColumn="1" w:firstRow="1" w:lastColumn="0" w:lastRow="0" w:noHBand="0" w:noVBand="1" w:val="04A0"/>
      </w:tblPr>
      <w:tblGrid>
        <w:gridCol w:w="5040"/>
        <w:gridCol w:w="5040"/>
      </w:tblGrid>
      <w:tr>
        <w:tc>
          <w:tcPr>
            <w:tcW w:type="dxa" w:w="5040"/>
          </w:tcPr>
          <w:p>
            <w:r>
              <w:t>Initial Market Entry</w:t>
            </w:r>
          </w:p>
        </w:tc>
        <w:tc>
          <w:tcPr>
            <w:tcW w:type="dxa" w:w="5040"/>
          </w:tcPr>
          <w:p>
            <w:r>
              <w:t>Telecom Intelligence Exchange (TIX)</w:t>
            </w:r>
          </w:p>
        </w:tc>
      </w:tr>
      <w:tr>
        <w:tc>
          <w:tcPr>
            <w:tcW w:type="dxa" w:w="5040"/>
          </w:tcPr>
          <w:p>
            <w:r>
              <w:t>Initial Data</w:t>
            </w:r>
          </w:p>
        </w:tc>
        <w:tc>
          <w:tcPr>
            <w:tcW w:type="dxa" w:w="5040"/>
          </w:tcPr>
          <w:p>
            <w:r>
              <w:t>Existing institutional telecom debt datasets</w:t>
            </w:r>
          </w:p>
        </w:tc>
      </w:tr>
      <w:tr>
        <w:tc>
          <w:tcPr>
            <w:tcW w:type="dxa" w:w="5040"/>
          </w:tcPr>
          <w:p>
            <w:r>
              <w:t>Primary Languages</w:t>
            </w:r>
          </w:p>
        </w:tc>
        <w:tc>
          <w:tcPr>
            <w:tcW w:type="dxa" w:w="5040"/>
          </w:tcPr>
          <w:p>
            <w:r>
              <w:t>English and French</w:t>
            </w:r>
          </w:p>
        </w:tc>
      </w:tr>
      <w:tr>
        <w:tc>
          <w:tcPr>
            <w:tcW w:type="dxa" w:w="5040"/>
          </w:tcPr>
          <w:p>
            <w:r>
              <w:t>Long-Term Direction</w:t>
            </w:r>
          </w:p>
        </w:tc>
        <w:tc>
          <w:tcPr>
            <w:tcW w:type="dxa" w:w="5040"/>
          </w:tcPr>
          <w:p>
            <w:r>
              <w:t>Trusted cross-industry national intelligence infrastructure</w:t>
            </w:r>
          </w:p>
        </w:tc>
      </w:tr>
    </w:tbl>
    <w:p>
      <w:r>
        <w:br w:type="page"/>
      </w:r>
    </w:p>
    <w:p>
      <w:pPr>
        <w:pStyle w:val="Heading1"/>
      </w:pPr>
      <w:r>
        <w:t>1. Executive Direction</w:t>
      </w:r>
    </w:p>
    <w:p>
      <w:r>
        <w:t>DIP should be executed as a platform, not as a one-off telecom application. TIX is the first operational module because real telecom debt data is already available to drive the data model, ingestion pipeline, entity-resolution logic, and first customer workflows. The engineering strategy is therefore to prove the platform with telecom data, earn trust through governance and auditability, and only then expand to banks, insurers, utilities, enterprises, and authorized public institutions.</w:t>
      </w:r>
    </w:p>
    <w:p>
      <w:r>
        <w:t>The first objective is not to build an African version of a mature credit bureau in one release. The first objective is to build a secure, bilingual, source-backed intelligence exchange that institutions can actually trust and use.</w:t>
      </w:r>
    </w:p>
    <w:p>
      <w:pPr>
        <w:pStyle w:val="Heading1"/>
      </w:pPr>
      <w:r>
        <w:t>2. Product Scope</w:t>
      </w:r>
    </w:p>
    <w:p>
      <w:pPr>
        <w:pStyle w:val="ListBullet"/>
      </w:pPr>
      <w:r>
        <w:t>Universal business and individual search</w:t>
      </w:r>
    </w:p>
    <w:p>
      <w:pPr>
        <w:pStyle w:val="ListBullet"/>
      </w:pPr>
      <w:r>
        <w:t>Secure institutional data ingestion</w:t>
      </w:r>
    </w:p>
    <w:p>
      <w:pPr>
        <w:pStyle w:val="ListBullet"/>
      </w:pPr>
      <w:r>
        <w:t>Data validation and quality management</w:t>
      </w:r>
    </w:p>
    <w:p>
      <w:pPr>
        <w:pStyle w:val="ListBullet"/>
      </w:pPr>
      <w:r>
        <w:t>Canonical business/individual profiles</w:t>
      </w:r>
    </w:p>
    <w:p>
      <w:pPr>
        <w:pStyle w:val="ListBullet"/>
      </w:pPr>
      <w:r>
        <w:t>Entity resolution with confidence and human review</w:t>
      </w:r>
    </w:p>
    <w:p>
      <w:pPr>
        <w:pStyle w:val="ListBullet"/>
      </w:pPr>
      <w:r>
        <w:t>TIX telecom exposure and debt-aging intelligence</w:t>
      </w:r>
    </w:p>
    <w:p>
      <w:pPr>
        <w:pStyle w:val="ListBullet"/>
      </w:pPr>
      <w:r>
        <w:t>Portfolio monitoring and executive dashboards</w:t>
      </w:r>
    </w:p>
    <w:p>
      <w:pPr>
        <w:pStyle w:val="ListBullet"/>
      </w:pPr>
      <w:r>
        <w:t>Explainable risk indicators and versioned DIP risk assessments</w:t>
      </w:r>
    </w:p>
    <w:p>
      <w:pPr>
        <w:pStyle w:val="ListBullet"/>
      </w:pPr>
      <w:r>
        <w:t>Fraud/anomaly signals</w:t>
      </w:r>
    </w:p>
    <w:p>
      <w:pPr>
        <w:pStyle w:val="ListBullet"/>
      </w:pPr>
      <w:r>
        <w:t>Auditable reports and APIs</w:t>
      </w:r>
    </w:p>
    <w:p>
      <w:pPr>
        <w:pStyle w:val="ListBullet"/>
      </w:pPr>
      <w:r>
        <w:t>Grounded AI analyst capabilities</w:t>
      </w:r>
    </w:p>
    <w:p>
      <w:pPr>
        <w:pStyle w:val="ListBullet"/>
      </w:pPr>
      <w:r>
        <w:t>English/French experience across UI, reports and AI</w:t>
      </w:r>
    </w:p>
    <w:p>
      <w:pPr>
        <w:pStyle w:val="Heading1"/>
      </w:pPr>
      <w:r>
        <w:t>3. Execution Principles</w:t>
      </w:r>
    </w:p>
    <w:p>
      <w:r>
        <w:rPr>
          <w:b/>
        </w:rPr>
        <w:t xml:space="preserve">Real data first: </w:t>
      </w:r>
      <w:r>
        <w:t>Use the actual telecom datasets to define mappings and edge cases. Do not design the core schema around imagined perfect data.</w:t>
      </w:r>
    </w:p>
    <w:p>
      <w:r>
        <w:rPr>
          <w:b/>
        </w:rPr>
        <w:t xml:space="preserve">Trust before AI: </w:t>
      </w:r>
      <w:r>
        <w:t>Provenance, permissions, data quality, audit and explainability come before predictive models.</w:t>
      </w:r>
    </w:p>
    <w:p>
      <w:r>
        <w:rPr>
          <w:b/>
        </w:rPr>
        <w:t xml:space="preserve">Platform before industries: </w:t>
      </w:r>
      <w:r>
        <w:t>Build reusable identity, ingestion, search, audit and risk foundations. TIX is a module, not a separate codebase.</w:t>
      </w:r>
    </w:p>
    <w:p>
      <w:r>
        <w:rPr>
          <w:b/>
        </w:rPr>
        <w:t xml:space="preserve">Human decision authority: </w:t>
      </w:r>
      <w:r>
        <w:t>DIP supports decisions; institutions retain final authority for credit, onboarding, service, collections and fraud actions.</w:t>
      </w:r>
    </w:p>
    <w:p>
      <w:r>
        <w:rPr>
          <w:b/>
        </w:rPr>
        <w:t xml:space="preserve">Bilingual by design: </w:t>
      </w:r>
      <w:r>
        <w:t>English and French are architecture requirements, not a later translation project.</w:t>
      </w:r>
    </w:p>
    <w:p>
      <w:r>
        <w:rPr>
          <w:b/>
        </w:rPr>
        <w:t xml:space="preserve">National trust must be earned: </w:t>
      </w:r>
      <w:r>
        <w:t>Position DIP as designed to become a trusted national reference; do not imply government endorsement or certification before it exists.</w:t>
      </w:r>
    </w:p>
    <w:p>
      <w:pPr>
        <w:pStyle w:val="Heading1"/>
      </w:pPr>
      <w:r>
        <w:t>4. Target Architecture</w:t>
      </w:r>
    </w:p>
    <w:p>
      <w:r>
        <w:t>Recommended MVP architecture:</w:t>
      </w:r>
    </w:p>
    <w:p>
      <w:pPr>
        <w:pStyle w:val="ListBullet"/>
      </w:pPr>
      <w:r>
        <w:t>Next.js/React + TypeScript web application</w:t>
      </w:r>
    </w:p>
    <w:p>
      <w:pPr>
        <w:pStyle w:val="ListBullet"/>
      </w:pPr>
      <w:r>
        <w:t>Single primary backend: FastAPI/Python or Spring Boot/Java</w:t>
      </w:r>
    </w:p>
    <w:p>
      <w:pPr>
        <w:pStyle w:val="ListBullet"/>
      </w:pPr>
      <w:r>
        <w:t>PostgreSQL canonical data store</w:t>
      </w:r>
    </w:p>
    <w:p>
      <w:pPr>
        <w:pStyle w:val="ListBullet"/>
      </w:pPr>
      <w:r>
        <w:t>S3-compatible object storage for immutable imports and reports</w:t>
      </w:r>
    </w:p>
    <w:p>
      <w:pPr>
        <w:pStyle w:val="ListBullet"/>
      </w:pPr>
      <w:r>
        <w:t>Redis for caching/jobs where needed</w:t>
      </w:r>
    </w:p>
    <w:p>
      <w:pPr>
        <w:pStyle w:val="ListBullet"/>
      </w:pPr>
      <w:r>
        <w:t>OIDC/OAuth2 identity with MFA</w:t>
      </w:r>
    </w:p>
    <w:p>
      <w:pPr>
        <w:pStyle w:val="ListBullet"/>
      </w:pPr>
      <w:r>
        <w:t>Queue/worker for imports, matching, reports and AI jobs</w:t>
      </w:r>
    </w:p>
    <w:p>
      <w:pPr>
        <w:pStyle w:val="ListBullet"/>
      </w:pPr>
      <w:r>
        <w:t>Infrastructure as Code and CI/CD</w:t>
      </w:r>
    </w:p>
    <w:p>
      <w:pPr>
        <w:pStyle w:val="ListBullet"/>
      </w:pPr>
      <w:r>
        <w:t>Central logs, metrics, traces and security audit events</w:t>
      </w:r>
    </w:p>
    <w:p>
      <w:pPr>
        <w:pStyle w:val="ListBullet"/>
      </w:pPr>
      <w:r>
        <w:t>PostgreSQL search initially; dedicated search engine when volume justifies it</w:t>
      </w:r>
    </w:p>
    <w:p>
      <w:pPr>
        <w:pStyle w:val="Heading1"/>
      </w:pPr>
      <w:r>
        <w:t>5. Core Data Model</w:t>
      </w:r>
    </w:p>
    <w:p>
      <w:r>
        <w:t>The most important architectural decision is to separate source records from canonical entities. A telecom row is evidence from a source; it is not automatically the definitive identity of a business or person.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Purpose</w:t>
            </w:r>
          </w:p>
        </w:tc>
        <w:tc>
          <w:tcPr>
            <w:tcW w:type="dxa" w:w="3360"/>
          </w:tcPr>
          <w:p>
            <w:r>
              <w:t>Examples</w:t>
            </w:r>
          </w:p>
        </w:tc>
      </w:tr>
      <w:tr>
        <w:tc>
          <w:tcPr>
            <w:tcW w:type="dxa" w:w="3360"/>
          </w:tcPr>
          <w:p>
            <w:r>
              <w:t>Source</w:t>
            </w:r>
          </w:p>
        </w:tc>
        <w:tc>
          <w:tcPr>
            <w:tcW w:type="dxa" w:w="3360"/>
          </w:tcPr>
          <w:p>
            <w:r>
              <w:t>Preserve exactly what an institution supplied</w:t>
            </w:r>
          </w:p>
        </w:tc>
        <w:tc>
          <w:tcPr>
            <w:tcW w:type="dxa" w:w="3360"/>
          </w:tcPr>
          <w:p>
            <w:r>
              <w:t>Import batch, raw row, source operator</w:t>
            </w:r>
          </w:p>
        </w:tc>
      </w:tr>
      <w:tr>
        <w:tc>
          <w:tcPr>
            <w:tcW w:type="dxa" w:w="3360"/>
          </w:tcPr>
          <w:p>
            <w:r>
              <w:t>Canonical Entity</w:t>
            </w:r>
          </w:p>
        </w:tc>
        <w:tc>
          <w:tcPr>
            <w:tcW w:type="dxa" w:w="3360"/>
          </w:tcPr>
          <w:p>
            <w:r>
              <w:t>Represent a resolved business or individual</w:t>
            </w:r>
          </w:p>
        </w:tc>
        <w:tc>
          <w:tcPr>
            <w:tcW w:type="dxa" w:w="3360"/>
          </w:tcPr>
          <w:p>
            <w:r>
              <w:t>Business, individual, identifiers, aliases</w:t>
            </w:r>
          </w:p>
        </w:tc>
      </w:tr>
      <w:tr>
        <w:tc>
          <w:tcPr>
            <w:tcW w:type="dxa" w:w="3360"/>
          </w:tcPr>
          <w:p>
            <w:r>
              <w:t>Relationship</w:t>
            </w:r>
          </w:p>
        </w:tc>
        <w:tc>
          <w:tcPr>
            <w:tcW w:type="dxa" w:w="3360"/>
          </w:tcPr>
          <w:p>
            <w:r>
              <w:t>Connect source evidence to entity</w:t>
            </w:r>
          </w:p>
        </w:tc>
        <w:tc>
          <w:tcPr>
            <w:tcW w:type="dxa" w:w="3360"/>
          </w:tcPr>
          <w:p>
            <w:r>
              <w:t>Match confidence, reviewed match</w:t>
            </w:r>
          </w:p>
        </w:tc>
      </w:tr>
      <w:tr>
        <w:tc>
          <w:tcPr>
            <w:tcW w:type="dxa" w:w="3360"/>
          </w:tcPr>
          <w:p>
            <w:r>
              <w:t>Exposure</w:t>
            </w:r>
          </w:p>
        </w:tc>
        <w:tc>
          <w:tcPr>
            <w:tcW w:type="dxa" w:w="3360"/>
          </w:tcPr>
          <w:p>
            <w:r>
              <w:t>Financial/account facts</w:t>
            </w:r>
          </w:p>
        </w:tc>
        <w:tc>
          <w:tcPr>
            <w:tcW w:type="dxa" w:w="3360"/>
          </w:tcPr>
          <w:p>
            <w:r>
              <w:t>Balance, aging, status, write-off</w:t>
            </w:r>
          </w:p>
        </w:tc>
      </w:tr>
      <w:tr>
        <w:tc>
          <w:tcPr>
            <w:tcW w:type="dxa" w:w="3360"/>
          </w:tcPr>
          <w:p>
            <w:r>
              <w:t>Intelligence</w:t>
            </w:r>
          </w:p>
        </w:tc>
        <w:tc>
          <w:tcPr>
            <w:tcW w:type="dxa" w:w="3360"/>
          </w:tcPr>
          <w:p>
            <w:r>
              <w:t>Derived decision support</w:t>
            </w:r>
          </w:p>
        </w:tc>
        <w:tc>
          <w:tcPr>
            <w:tcW w:type="dxa" w:w="3360"/>
          </w:tcPr>
          <w:p>
            <w:r>
              <w:t>Risk signals, score/rating, reason codes</w:t>
            </w:r>
          </w:p>
        </w:tc>
      </w:tr>
      <w:tr>
        <w:tc>
          <w:tcPr>
            <w:tcW w:type="dxa" w:w="3360"/>
          </w:tcPr>
          <w:p>
            <w:r>
              <w:t>Governance</w:t>
            </w:r>
          </w:p>
        </w:tc>
        <w:tc>
          <w:tcPr>
            <w:tcW w:type="dxa" w:w="3360"/>
          </w:tcPr>
          <w:p>
            <w:r>
              <w:t>Prove authorized use</w:t>
            </w:r>
          </w:p>
        </w:tc>
        <w:tc>
          <w:tcPr>
            <w:tcW w:type="dxa" w:w="3360"/>
          </w:tcPr>
          <w:p>
            <w:r>
              <w:t>Purpose, search log, audit, dispute</w:t>
            </w:r>
          </w:p>
        </w:tc>
      </w:tr>
    </w:tbl>
    <w:p>
      <w:pPr>
        <w:pStyle w:val="Heading1"/>
      </w:pPr>
      <w:r>
        <w:t>6. Delivery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Phase</w:t>
            </w:r>
          </w:p>
        </w:tc>
        <w:tc>
          <w:tcPr>
            <w:tcW w:type="dxa" w:w="3360"/>
          </w:tcPr>
          <w:p>
            <w:r>
              <w:t>Timing</w:t>
            </w:r>
          </w:p>
        </w:tc>
        <w:tc>
          <w:tcPr>
            <w:tcW w:type="dxa" w:w="3360"/>
          </w:tcPr>
          <w:p>
            <w:r>
              <w:t>Primary Outcome</w:t>
            </w:r>
          </w:p>
        </w:tc>
      </w:tr>
      <w:tr>
        <w:tc>
          <w:tcPr>
            <w:tcW w:type="dxa" w:w="3360"/>
          </w:tcPr>
          <w:p>
            <w:r>
              <w:t>Phase 0 — Discovery &amp; Governance</w:t>
            </w:r>
          </w:p>
        </w:tc>
        <w:tc>
          <w:tcPr>
            <w:tcW w:type="dxa" w:w="3360"/>
          </w:tcPr>
          <w:p>
            <w:r>
              <w:t>Weeks 1–4</w:t>
            </w:r>
          </w:p>
        </w:tc>
        <w:tc>
          <w:tcPr>
            <w:tcW w:type="dxa" w:w="3360"/>
          </w:tcPr>
          <w:p>
            <w:r>
              <w:t>Data inventory, legal/data-use review, source agreements, profiling, success metrics, threat model.</w:t>
            </w:r>
          </w:p>
        </w:tc>
      </w:tr>
      <w:tr>
        <w:tc>
          <w:tcPr>
            <w:tcW w:type="dxa" w:w="3360"/>
          </w:tcPr>
          <w:p>
            <w:r>
              <w:t>Phase 1 — Platform Foundation</w:t>
            </w:r>
          </w:p>
        </w:tc>
        <w:tc>
          <w:tcPr>
            <w:tcW w:type="dxa" w:w="3360"/>
          </w:tcPr>
          <w:p>
            <w:r>
              <w:t>Weeks 3–8</w:t>
            </w:r>
          </w:p>
        </w:tc>
        <w:tc>
          <w:tcPr>
            <w:tcW w:type="dxa" w:w="3360"/>
          </w:tcPr>
          <w:p>
            <w:r>
              <w:t>Repo, environments, authentication/MFA, tenants, RBAC, bilingual framework, audit, base UI.</w:t>
            </w:r>
          </w:p>
        </w:tc>
      </w:tr>
      <w:tr>
        <w:tc>
          <w:tcPr>
            <w:tcW w:type="dxa" w:w="3360"/>
          </w:tcPr>
          <w:p>
            <w:r>
              <w:t>Phase 2 — Telecom Data Foundation</w:t>
            </w:r>
          </w:p>
        </w:tc>
        <w:tc>
          <w:tcPr>
            <w:tcW w:type="dxa" w:w="3360"/>
          </w:tcPr>
          <w:p>
            <w:r>
              <w:t>Weeks 6–12</w:t>
            </w:r>
          </w:p>
        </w:tc>
        <w:tc>
          <w:tcPr>
            <w:tcW w:type="dxa" w:w="3360"/>
          </w:tcPr>
          <w:p>
            <w:r>
              <w:t>XLSX/CSV ingestion, mappings, immutable raw storage, validation, normalization, data-quality dashboard.</w:t>
            </w:r>
          </w:p>
        </w:tc>
      </w:tr>
      <w:tr>
        <w:tc>
          <w:tcPr>
            <w:tcW w:type="dxa" w:w="3360"/>
          </w:tcPr>
          <w:p>
            <w:r>
              <w:t>Phase 3 — Entity Resolution &amp; Search</w:t>
            </w:r>
          </w:p>
        </w:tc>
        <w:tc>
          <w:tcPr>
            <w:tcW w:type="dxa" w:w="3360"/>
          </w:tcPr>
          <w:p>
            <w:r>
              <w:t>Weeks 10–16</w:t>
            </w:r>
          </w:p>
        </w:tc>
        <w:tc>
          <w:tcPr>
            <w:tcW w:type="dxa" w:w="3360"/>
          </w:tcPr>
          <w:p>
            <w:r>
              <w:t>Canonical entities, identifiers, matching, confidence, review queue, universal search, profiles.</w:t>
            </w:r>
          </w:p>
        </w:tc>
      </w:tr>
      <w:tr>
        <w:tc>
          <w:tcPr>
            <w:tcW w:type="dxa" w:w="3360"/>
          </w:tcPr>
          <w:p>
            <w:r>
              <w:t>Phase 4 — TIX MVP</w:t>
            </w:r>
          </w:p>
        </w:tc>
        <w:tc>
          <w:tcPr>
            <w:tcW w:type="dxa" w:w="3360"/>
          </w:tcPr>
          <w:p>
            <w:r>
              <w:t>Weeks 14–20</w:t>
            </w:r>
          </w:p>
        </w:tc>
        <w:tc>
          <w:tcPr>
            <w:tcW w:type="dxa" w:w="3360"/>
          </w:tcPr>
          <w:p>
            <w:r>
              <w:t>Telecom exposure, aging, cross-source views, repeat-default indicators, dashboards and reports.</w:t>
            </w:r>
          </w:p>
        </w:tc>
      </w:tr>
      <w:tr>
        <w:tc>
          <w:tcPr>
            <w:tcW w:type="dxa" w:w="3360"/>
          </w:tcPr>
          <w:p>
            <w:r>
              <w:t>Phase 5 — Risk Intelligence v1</w:t>
            </w:r>
          </w:p>
        </w:tc>
        <w:tc>
          <w:tcPr>
            <w:tcW w:type="dxa" w:w="3360"/>
          </w:tcPr>
          <w:p>
            <w:r>
              <w:t>Weeks 18–24</w:t>
            </w:r>
          </w:p>
        </w:tc>
        <w:tc>
          <w:tcPr>
            <w:tcW w:type="dxa" w:w="3360"/>
          </w:tcPr>
          <w:p>
            <w:r>
              <w:t>Transparent rules-based risk rating, reason codes, model registry, risk history, analyst review.</w:t>
            </w:r>
          </w:p>
        </w:tc>
      </w:tr>
      <w:tr>
        <w:tc>
          <w:tcPr>
            <w:tcW w:type="dxa" w:w="3360"/>
          </w:tcPr>
          <w:p>
            <w:r>
              <w:t>Phase 6 — Controlled Pilot</w:t>
            </w:r>
          </w:p>
        </w:tc>
        <w:tc>
          <w:tcPr>
            <w:tcW w:type="dxa" w:w="3360"/>
          </w:tcPr>
          <w:p>
            <w:r>
              <w:t>Weeks 22–30</w:t>
            </w:r>
          </w:p>
        </w:tc>
        <w:tc>
          <w:tcPr>
            <w:tcW w:type="dxa" w:w="3360"/>
          </w:tcPr>
          <w:p>
            <w:r>
              <w:t>UAT, security/performance testing, training, governance review, KPI measurement.</w:t>
            </w:r>
          </w:p>
        </w:tc>
      </w:tr>
      <w:tr>
        <w:tc>
          <w:tcPr>
            <w:tcW w:type="dxa" w:w="3360"/>
          </w:tcPr>
          <w:p>
            <w:r>
              <w:t>Phase 7 — Multi-Telecom Production</w:t>
            </w:r>
          </w:p>
        </w:tc>
        <w:tc>
          <w:tcPr>
            <w:tcW w:type="dxa" w:w="3360"/>
          </w:tcPr>
          <w:p>
            <w:r>
              <w:t>Months 8–12</w:t>
            </w:r>
          </w:p>
        </w:tc>
        <w:tc>
          <w:tcPr>
            <w:tcW w:type="dxa" w:w="3360"/>
          </w:tcPr>
          <w:p>
            <w:r>
              <w:t>Additional operators, automated feeds/APIs, alerts, disputes, SLA, DR, penetration test.</w:t>
            </w:r>
          </w:p>
        </w:tc>
      </w:tr>
      <w:tr>
        <w:tc>
          <w:tcPr>
            <w:tcW w:type="dxa" w:w="3360"/>
          </w:tcPr>
          <w:p>
            <w:r>
              <w:t>Phase 8 — Banking Expansion</w:t>
            </w:r>
          </w:p>
        </w:tc>
        <w:tc>
          <w:tcPr>
            <w:tcW w:type="dxa" w:w="3360"/>
          </w:tcPr>
          <w:p>
            <w:r>
              <w:t>Year 2</w:t>
            </w:r>
          </w:p>
        </w:tc>
        <w:tc>
          <w:tcPr>
            <w:tcW w:type="dxa" w:w="3360"/>
          </w:tcPr>
          <w:p>
            <w:r>
              <w:t>Bank workflows, business credit intelligence, permitted individual risk, monitoring and APIs.</w:t>
            </w:r>
          </w:p>
        </w:tc>
      </w:tr>
      <w:tr>
        <w:tc>
          <w:tcPr>
            <w:tcW w:type="dxa" w:w="3360"/>
          </w:tcPr>
          <w:p>
            <w:r>
              <w:t>Phase 9 — Predictive AI</w:t>
            </w:r>
          </w:p>
        </w:tc>
        <w:tc>
          <w:tcPr>
            <w:tcW w:type="dxa" w:w="3360"/>
          </w:tcPr>
          <w:p>
            <w:r>
              <w:t>Year 2+</w:t>
            </w:r>
          </w:p>
        </w:tc>
        <w:tc>
          <w:tcPr>
            <w:tcW w:type="dxa" w:w="3360"/>
          </w:tcPr>
          <w:p>
            <w:r>
              <w:t>Grounded AI analyst, recovery prediction, anomaly models, network analysis, explainable predictive risk.</w:t>
            </w:r>
          </w:p>
        </w:tc>
      </w:tr>
    </w:tbl>
    <w:p>
      <w:pPr>
        <w:pStyle w:val="Heading1"/>
      </w:pPr>
      <w:r>
        <w:t>7. First 30 Days</w:t>
      </w:r>
    </w:p>
    <w:p>
      <w:pPr>
        <w:pStyle w:val="Heading2"/>
      </w:pPr>
      <w:r>
        <w:t>Week 1</w:t>
      </w:r>
    </w:p>
    <w:p>
      <w:pPr>
        <w:pStyle w:val="ListBullet"/>
      </w:pPr>
      <w:r>
        <w:t>Secure/inventory available datasets</w:t>
      </w:r>
    </w:p>
    <w:p>
      <w:pPr>
        <w:pStyle w:val="ListBullet"/>
      </w:pPr>
      <w:r>
        <w:t>Profile columns, missingness and duplicates</w:t>
      </w:r>
    </w:p>
    <w:p>
      <w:pPr>
        <w:pStyle w:val="ListBullet"/>
      </w:pPr>
      <w:r>
        <w:t>Document source/refresh process</w:t>
      </w:r>
    </w:p>
    <w:p>
      <w:pPr>
        <w:pStyle w:val="ListBullet"/>
      </w:pPr>
      <w:r>
        <w:t>Define data-handling rules and authorized purposes</w:t>
      </w:r>
    </w:p>
    <w:p>
      <w:pPr>
        <w:pStyle w:val="Heading2"/>
      </w:pPr>
      <w:r>
        <w:t>Week 2</w:t>
      </w:r>
    </w:p>
    <w:p>
      <w:pPr>
        <w:pStyle w:val="ListBullet"/>
      </w:pPr>
      <w:r>
        <w:t>Canonical data model</w:t>
      </w:r>
    </w:p>
    <w:p>
      <w:pPr>
        <w:pStyle w:val="ListBullet"/>
      </w:pPr>
      <w:r>
        <w:t>First telecom source mapping</w:t>
      </w:r>
    </w:p>
    <w:p>
      <w:pPr>
        <w:pStyle w:val="ListBullet"/>
      </w:pPr>
      <w:r>
        <w:t>Architecture skeleton</w:t>
      </w:r>
    </w:p>
    <w:p>
      <w:pPr>
        <w:pStyle w:val="ListBullet"/>
      </w:pPr>
      <w:r>
        <w:t>Repository/environments</w:t>
      </w:r>
    </w:p>
    <w:p>
      <w:pPr>
        <w:pStyle w:val="ListBullet"/>
      </w:pPr>
      <w:r>
        <w:t>Authentication and tenant model</w:t>
      </w:r>
    </w:p>
    <w:p>
      <w:pPr>
        <w:pStyle w:val="Heading2"/>
      </w:pPr>
      <w:r>
        <w:t>Week 3</w:t>
      </w:r>
    </w:p>
    <w:p>
      <w:pPr>
        <w:pStyle w:val="ListBullet"/>
      </w:pPr>
      <w:r>
        <w:t>Import pipeline</w:t>
      </w:r>
    </w:p>
    <w:p>
      <w:pPr>
        <w:pStyle w:val="ListBullet"/>
      </w:pPr>
      <w:r>
        <w:t>Validation engine</w:t>
      </w:r>
    </w:p>
    <w:p>
      <w:pPr>
        <w:pStyle w:val="ListBullet"/>
      </w:pPr>
      <w:r>
        <w:t>Immutable raw storage</w:t>
      </w:r>
    </w:p>
    <w:p>
      <w:pPr>
        <w:pStyle w:val="ListBullet"/>
      </w:pPr>
      <w:r>
        <w:t>Bilingual application shell</w:t>
      </w:r>
    </w:p>
    <w:p>
      <w:pPr>
        <w:pStyle w:val="ListBullet"/>
      </w:pPr>
      <w:r>
        <w:t>Audit logging</w:t>
      </w:r>
    </w:p>
    <w:p>
      <w:pPr>
        <w:pStyle w:val="Heading2"/>
      </w:pPr>
      <w:r>
        <w:t>Week 4</w:t>
      </w:r>
    </w:p>
    <w:p>
      <w:pPr>
        <w:pStyle w:val="ListBullet"/>
      </w:pPr>
      <w:r>
        <w:t>Normalized telecom records</w:t>
      </w:r>
    </w:p>
    <w:p>
      <w:pPr>
        <w:pStyle w:val="ListBullet"/>
      </w:pPr>
      <w:r>
        <w:t>First search API</w:t>
      </w:r>
    </w:p>
    <w:p>
      <w:pPr>
        <w:pStyle w:val="ListBullet"/>
      </w:pPr>
      <w:r>
        <w:t>Business profile</w:t>
      </w:r>
    </w:p>
    <w:p>
      <w:pPr>
        <w:pStyle w:val="ListBullet"/>
      </w:pPr>
      <w:r>
        <w:t>Data-quality dashboard</w:t>
      </w:r>
    </w:p>
    <w:p>
      <w:pPr>
        <w:pStyle w:val="ListBullet"/>
      </w:pPr>
      <w:r>
        <w:t>Demo with anonymized/approved records</w:t>
      </w:r>
    </w:p>
    <w:p>
      <w:pPr>
        <w:pStyle w:val="Heading1"/>
      </w:pPr>
      <w:r>
        <w:t>8. 90-Day MVP Definition</w:t>
      </w:r>
    </w:p>
    <w:p>
      <w:r>
        <w:t>At 90 days, the target is a secure bilingual MVP that can ingest the existing telecom dataset, validate it, preserve provenance, resolve entities, search businesses, show source-backed exposure and aging, and generate auditable intelligence reports. Individual search can be enabled only for fields and use cases that have been approved under the applicable governance and legal framework.</w:t>
      </w:r>
    </w:p>
    <w:p>
      <w:pPr>
        <w:pStyle w:val="Heading1"/>
      </w:pPr>
      <w:r>
        <w:t>9. Risk Intelligence Strategy</w:t>
      </w:r>
    </w:p>
    <w:p>
      <w:r>
        <w:t>Do not begin with an opaque machine-learning credit score. Start with a transparent rules-based risk assessment whose factors are visible and versioned. This produces a baseline that institutions can understand, challenge and validate. Predictive models should be introduced only after sufficient historical outcomes and governance exist.</w:t>
      </w:r>
    </w:p>
    <w:p>
      <w:pPr>
        <w:pStyle w:val="ListBullet"/>
      </w:pPr>
      <w:r>
        <w:t>Exposure</w:t>
      </w:r>
    </w:p>
    <w:p>
      <w:pPr>
        <w:pStyle w:val="ListBullet"/>
      </w:pPr>
      <w:r>
        <w:t>Debt aging</w:t>
      </w:r>
    </w:p>
    <w:p>
      <w:pPr>
        <w:pStyle w:val="ListBullet"/>
      </w:pPr>
      <w:r>
        <w:t>Payment/recovery behavior</w:t>
      </w:r>
    </w:p>
    <w:p>
      <w:pPr>
        <w:pStyle w:val="ListBullet"/>
      </w:pPr>
      <w:r>
        <w:t>Number of contributing sources</w:t>
      </w:r>
    </w:p>
    <w:p>
      <w:pPr>
        <w:pStyle w:val="ListBullet"/>
      </w:pPr>
      <w:r>
        <w:t>Repeat-default signals</w:t>
      </w:r>
    </w:p>
    <w:p>
      <w:pPr>
        <w:pStyle w:val="ListBullet"/>
      </w:pPr>
      <w:r>
        <w:t>Write-off/dispute status</w:t>
      </w:r>
    </w:p>
    <w:p>
      <w:pPr>
        <w:pStyle w:val="ListBullet"/>
      </w:pPr>
      <w:r>
        <w:t>Identity confidence</w:t>
      </w:r>
    </w:p>
    <w:p>
      <w:pPr>
        <w:pStyle w:val="ListBullet"/>
      </w:pPr>
      <w:r>
        <w:t>Fraud/anomaly indicators</w:t>
      </w:r>
    </w:p>
    <w:p>
      <w:pPr>
        <w:pStyle w:val="ListBullet"/>
      </w:pPr>
      <w:r>
        <w:t>Data recency</w:t>
      </w:r>
    </w:p>
    <w:p>
      <w:pPr>
        <w:pStyle w:val="Heading1"/>
      </w:pPr>
      <w:r>
        <w:t>10. AI Roadmap</w:t>
      </w:r>
    </w:p>
    <w:p>
      <w:r>
        <w:rPr>
          <w:b/>
        </w:rPr>
        <w:t xml:space="preserve">AI v1: </w:t>
      </w:r>
      <w:r>
        <w:t>Grounded summaries, data-quality explanations, natural-language portfolio queries, executive summaries.</w:t>
      </w:r>
    </w:p>
    <w:p>
      <w:r>
        <w:rPr>
          <w:b/>
        </w:rPr>
        <w:t xml:space="preserve">AI v2: </w:t>
      </w:r>
      <w:r>
        <w:t>Collection prioritization and anomaly triage using validated platform features.</w:t>
      </w:r>
    </w:p>
    <w:p>
      <w:r>
        <w:rPr>
          <w:b/>
        </w:rPr>
        <w:t xml:space="preserve">AI v3: </w:t>
      </w:r>
      <w:r>
        <w:t>Predictive recovery/risk models after historical outcomes are sufficient.</w:t>
      </w:r>
    </w:p>
    <w:p>
      <w:r>
        <w:rPr>
          <w:b/>
        </w:rPr>
        <w:t xml:space="preserve">AI governance: </w:t>
      </w:r>
      <w:r>
        <w:t>Model registry, evaluation, reason codes, drift monitoring, rollback, human review and access-aware retrieval.</w:t>
      </w:r>
    </w:p>
    <w:p>
      <w:pPr>
        <w:pStyle w:val="Heading1"/>
      </w:pPr>
      <w:r>
        <w:t>11. National Trust Framework</w:t>
      </w:r>
    </w:p>
    <w:p>
      <w:r>
        <w:t>The strongest long-term differentiator is not the user interface. It is the trust network around the data. DIP should be engineered so that every important fact and decision-support output can be traced to its institutional source, every sensitive access can be audited, and every correction can preserve history.</w:t>
      </w:r>
    </w:p>
    <w:p>
      <w:pPr>
        <w:pStyle w:val="ListBullet"/>
      </w:pPr>
      <w:r>
        <w:t>Verified participating data sources</w:t>
      </w:r>
    </w:p>
    <w:p>
      <w:pPr>
        <w:pStyle w:val="ListBullet"/>
      </w:pPr>
      <w:r>
        <w:t>Clear participant data ownership</w:t>
      </w:r>
    </w:p>
    <w:p>
      <w:pPr>
        <w:pStyle w:val="ListBullet"/>
      </w:pPr>
      <w:r>
        <w:t>Purpose-based access</w:t>
      </w:r>
    </w:p>
    <w:p>
      <w:pPr>
        <w:pStyle w:val="ListBullet"/>
      </w:pPr>
      <w:r>
        <w:t>Data minimization</w:t>
      </w:r>
    </w:p>
    <w:p>
      <w:pPr>
        <w:pStyle w:val="ListBullet"/>
      </w:pPr>
      <w:r>
        <w:t>Tamper-resistant audit</w:t>
      </w:r>
    </w:p>
    <w:p>
      <w:pPr>
        <w:pStyle w:val="ListBullet"/>
      </w:pPr>
      <w:r>
        <w:t>Correction/dispute workflow</w:t>
      </w:r>
    </w:p>
    <w:p>
      <w:pPr>
        <w:pStyle w:val="ListBullet"/>
      </w:pPr>
      <w:r>
        <w:t>Independent security testing</w:t>
      </w:r>
    </w:p>
    <w:p>
      <w:pPr>
        <w:pStyle w:val="ListBullet"/>
      </w:pPr>
      <w:r>
        <w:t>Transparent risk methodology</w:t>
      </w:r>
    </w:p>
    <w:p>
      <w:pPr>
        <w:pStyle w:val="ListBullet"/>
      </w:pPr>
      <w:r>
        <w:t>Model governance</w:t>
      </w:r>
    </w:p>
    <w:p>
      <w:pPr>
        <w:pStyle w:val="ListBullet"/>
      </w:pPr>
      <w:r>
        <w:t>Regulator-ready documentation</w:t>
      </w:r>
    </w:p>
    <w:p>
      <w:pPr>
        <w:pStyle w:val="Heading1"/>
      </w:pPr>
      <w:r>
        <w:t>12. Team &amp; Workstreams</w:t>
      </w:r>
    </w:p>
    <w:tbl>
      <w:tblPr>
        <w:tblStyle w:val="TableGrid"/>
        <w:tblW w:type="auto" w:w="0"/>
        <w:tblLook w:firstColumn="1" w:firstRow="1" w:lastColumn="0" w:lastRow="0" w:noHBand="0" w:noVBand="1" w:val="04A0"/>
      </w:tblPr>
      <w:tblGrid>
        <w:gridCol w:w="5040"/>
        <w:gridCol w:w="5040"/>
      </w:tblGrid>
      <w:tr>
        <w:tc>
          <w:tcPr>
            <w:tcW w:type="dxa" w:w="5040"/>
          </w:tcPr>
          <w:p>
            <w:r>
              <w:t>Workstream</w:t>
            </w:r>
          </w:p>
        </w:tc>
        <w:tc>
          <w:tcPr>
            <w:tcW w:type="dxa" w:w="5040"/>
          </w:tcPr>
          <w:p>
            <w:r>
              <w:t>Responsibility</w:t>
            </w:r>
          </w:p>
        </w:tc>
      </w:tr>
      <w:tr>
        <w:tc>
          <w:tcPr>
            <w:tcW w:type="dxa" w:w="5040"/>
          </w:tcPr>
          <w:p>
            <w:r>
              <w:t>Product/Partnership</w:t>
            </w:r>
          </w:p>
        </w:tc>
        <w:tc>
          <w:tcPr>
            <w:tcW w:type="dxa" w:w="5040"/>
          </w:tcPr>
          <w:p>
            <w:r>
              <w:t>Requirements, telecom/bank relationships, pilot, commercial model</w:t>
            </w:r>
          </w:p>
        </w:tc>
      </w:tr>
      <w:tr>
        <w:tc>
          <w:tcPr>
            <w:tcW w:type="dxa" w:w="5040"/>
          </w:tcPr>
          <w:p>
            <w:r>
              <w:t>Data Engineering</w:t>
            </w:r>
          </w:p>
        </w:tc>
        <w:tc>
          <w:tcPr>
            <w:tcW w:type="dxa" w:w="5040"/>
          </w:tcPr>
          <w:p>
            <w:r>
              <w:t>Profiling, mappings, ingestion, quality, lineage</w:t>
            </w:r>
          </w:p>
        </w:tc>
      </w:tr>
      <w:tr>
        <w:tc>
          <w:tcPr>
            <w:tcW w:type="dxa" w:w="5040"/>
          </w:tcPr>
          <w:p>
            <w:r>
              <w:t>Backend</w:t>
            </w:r>
          </w:p>
        </w:tc>
        <w:tc>
          <w:tcPr>
            <w:tcW w:type="dxa" w:w="5040"/>
          </w:tcPr>
          <w:p>
            <w:r>
              <w:t>APIs, tenants, authorization, entity model, risk services</w:t>
            </w:r>
          </w:p>
        </w:tc>
      </w:tr>
      <w:tr>
        <w:tc>
          <w:tcPr>
            <w:tcW w:type="dxa" w:w="5040"/>
          </w:tcPr>
          <w:p>
            <w:r>
              <w:t>Frontend</w:t>
            </w:r>
          </w:p>
        </w:tc>
        <w:tc>
          <w:tcPr>
            <w:tcW w:type="dxa" w:w="5040"/>
          </w:tcPr>
          <w:p>
            <w:r>
              <w:t>Bilingual analyst and executive experience</w:t>
            </w:r>
          </w:p>
        </w:tc>
      </w:tr>
      <w:tr>
        <w:tc>
          <w:tcPr>
            <w:tcW w:type="dxa" w:w="5040"/>
          </w:tcPr>
          <w:p>
            <w:r>
              <w:t>Security/Governance</w:t>
            </w:r>
          </w:p>
        </w:tc>
        <w:tc>
          <w:tcPr>
            <w:tcW w:type="dxa" w:w="5040"/>
          </w:tcPr>
          <w:p>
            <w:r>
              <w:t>Threat model, privacy, access, audit, incident readiness</w:t>
            </w:r>
          </w:p>
        </w:tc>
      </w:tr>
      <w:tr>
        <w:tc>
          <w:tcPr>
            <w:tcW w:type="dxa" w:w="5040"/>
          </w:tcPr>
          <w:p>
            <w:r>
              <w:t>QA</w:t>
            </w:r>
          </w:p>
        </w:tc>
        <w:tc>
          <w:tcPr>
            <w:tcW w:type="dxa" w:w="5040"/>
          </w:tcPr>
          <w:p>
            <w:r>
              <w:t>Functional, security, data-quality, E2E and performance testing</w:t>
            </w:r>
          </w:p>
        </w:tc>
      </w:tr>
      <w:tr>
        <w:tc>
          <w:tcPr>
            <w:tcW w:type="dxa" w:w="5040"/>
          </w:tcPr>
          <w:p>
            <w:r>
              <w:t>AI/Analytics</w:t>
            </w:r>
          </w:p>
        </w:tc>
        <w:tc>
          <w:tcPr>
            <w:tcW w:type="dxa" w:w="5040"/>
          </w:tcPr>
          <w:p>
            <w:r>
              <w:t>Explainable rules first; grounded AI and predictive models later</w:t>
            </w:r>
          </w:p>
        </w:tc>
      </w:tr>
      <w:tr>
        <w:tc>
          <w:tcPr>
            <w:tcW w:type="dxa" w:w="5040"/>
          </w:tcPr>
          <w:p>
            <w:r>
              <w:t>DevOps</w:t>
            </w:r>
          </w:p>
        </w:tc>
        <w:tc>
          <w:tcPr>
            <w:tcW w:type="dxa" w:w="5040"/>
          </w:tcPr>
          <w:p>
            <w:r>
              <w:t>Environments, CI/CD, backups, observability, DR</w:t>
            </w:r>
          </w:p>
        </w:tc>
      </w:tr>
    </w:tbl>
    <w:p>
      <w:pPr>
        <w:pStyle w:val="Heading1"/>
      </w:pPr>
      <w:r>
        <w:t>13. Pilot KPIs</w:t>
      </w:r>
    </w:p>
    <w:p>
      <w:pPr>
        <w:pStyle w:val="ListBullet"/>
      </w:pPr>
      <w:r>
        <w:t>Import success and rejection rate</w:t>
      </w:r>
    </w:p>
    <w:p>
      <w:pPr>
        <w:pStyle w:val="ListBullet"/>
      </w:pPr>
      <w:r>
        <w:t>Data completeness by source</w:t>
      </w:r>
    </w:p>
    <w:p>
      <w:pPr>
        <w:pStyle w:val="ListBullet"/>
      </w:pPr>
      <w:r>
        <w:t>Duplicate/entity-match precision</w:t>
      </w:r>
    </w:p>
    <w:p>
      <w:pPr>
        <w:pStyle w:val="ListBullet"/>
      </w:pPr>
      <w:r>
        <w:t>Median search response time</w:t>
      </w:r>
    </w:p>
    <w:p>
      <w:pPr>
        <w:pStyle w:val="ListBullet"/>
      </w:pPr>
      <w:r>
        <w:t>Percentage of displayed facts with complete provenance</w:t>
      </w:r>
    </w:p>
    <w:p>
      <w:pPr>
        <w:pStyle w:val="ListBullet"/>
      </w:pPr>
      <w:r>
        <w:t>Unauthorized-access test failures: zero</w:t>
      </w:r>
    </w:p>
    <w:p>
      <w:pPr>
        <w:pStyle w:val="ListBullet"/>
      </w:pPr>
      <w:r>
        <w:t>Analyst time saved per investigation</w:t>
      </w:r>
    </w:p>
    <w:p>
      <w:pPr>
        <w:pStyle w:val="ListBullet"/>
      </w:pPr>
      <w:r>
        <w:t>Number of useful cross-source matches</w:t>
      </w:r>
    </w:p>
    <w:p>
      <w:pPr>
        <w:pStyle w:val="ListBullet"/>
      </w:pPr>
      <w:r>
        <w:t>User adoption and repeat usage</w:t>
      </w:r>
    </w:p>
    <w:p>
      <w:pPr>
        <w:pStyle w:val="ListBullet"/>
      </w:pPr>
      <w:r>
        <w:t>Dispute/correction turnaround</w:t>
      </w:r>
    </w:p>
    <w:p>
      <w:pPr>
        <w:pStyle w:val="ListBullet"/>
      </w:pPr>
      <w:r>
        <w:t>Risk assessment reproducibility</w:t>
      </w:r>
    </w:p>
    <w:p>
      <w:pPr>
        <w:pStyle w:val="ListBullet"/>
      </w:pPr>
      <w:r>
        <w:t>System availability during pilot</w:t>
      </w:r>
    </w:p>
    <w:p>
      <w:pPr>
        <w:pStyle w:val="Heading1"/>
      </w:pPr>
      <w:r>
        <w:t>14. Key Risks &amp; Mitigations</w:t>
      </w:r>
    </w:p>
    <w:tbl>
      <w:tblPr>
        <w:tblStyle w:val="TableGrid"/>
        <w:tblW w:type="auto" w:w="0"/>
        <w:tblLook w:firstColumn="1" w:firstRow="1" w:lastColumn="0" w:lastRow="0" w:noHBand="0" w:noVBand="1" w:val="04A0"/>
      </w:tblPr>
      <w:tblGrid>
        <w:gridCol w:w="5040"/>
        <w:gridCol w:w="5040"/>
      </w:tblGrid>
      <w:tr>
        <w:tc>
          <w:tcPr>
            <w:tcW w:type="dxa" w:w="5040"/>
          </w:tcPr>
          <w:p>
            <w:r>
              <w:t>Risk</w:t>
            </w:r>
          </w:p>
        </w:tc>
        <w:tc>
          <w:tcPr>
            <w:tcW w:type="dxa" w:w="5040"/>
          </w:tcPr>
          <w:p>
            <w:r>
              <w:t>Mitigation</w:t>
            </w:r>
          </w:p>
        </w:tc>
      </w:tr>
      <w:tr>
        <w:tc>
          <w:tcPr>
            <w:tcW w:type="dxa" w:w="5040"/>
          </w:tcPr>
          <w:p>
            <w:r>
              <w:t>Incomplete or inconsistent identifiers</w:t>
            </w:r>
          </w:p>
        </w:tc>
        <w:tc>
          <w:tcPr>
            <w:tcW w:type="dxa" w:w="5040"/>
          </w:tcPr>
          <w:p>
            <w:r>
              <w:t>Confidence-based entity resolution; never claim certainty; human review.</w:t>
            </w:r>
          </w:p>
        </w:tc>
      </w:tr>
      <w:tr>
        <w:tc>
          <w:tcPr>
            <w:tcW w:type="dxa" w:w="5040"/>
          </w:tcPr>
          <w:p>
            <w:r>
              <w:t>Data-use/legal uncertainty</w:t>
            </w:r>
          </w:p>
        </w:tc>
        <w:tc>
          <w:tcPr>
            <w:tcW w:type="dxa" w:w="5040"/>
          </w:tcPr>
          <w:p>
            <w:r>
              <w:t>Country-specific legal counsel and written source agreements before production sharing.</w:t>
            </w:r>
          </w:p>
        </w:tc>
      </w:tr>
      <w:tr>
        <w:tc>
          <w:tcPr>
            <w:tcW w:type="dxa" w:w="5040"/>
          </w:tcPr>
          <w:p>
            <w:r>
              <w:t>False matches</w:t>
            </w:r>
          </w:p>
        </w:tc>
        <w:tc>
          <w:tcPr>
            <w:tcW w:type="dxa" w:w="5040"/>
          </w:tcPr>
          <w:p>
            <w:r>
              <w:t>Conservative thresholds, source provenance, merge/unmerge, review queues.</w:t>
            </w:r>
          </w:p>
        </w:tc>
      </w:tr>
      <w:tr>
        <w:tc>
          <w:tcPr>
            <w:tcW w:type="dxa" w:w="5040"/>
          </w:tcPr>
          <w:p>
            <w:r>
              <w:t>Premature credit-score positioning</w:t>
            </w:r>
          </w:p>
        </w:tc>
        <w:tc>
          <w:tcPr>
            <w:tcW w:type="dxa" w:w="5040"/>
          </w:tcPr>
          <w:p>
            <w:r>
              <w:t>Start as explainable risk intelligence/decision support; formal scoring only with appropriate approvals.</w:t>
            </w:r>
          </w:p>
        </w:tc>
      </w:tr>
      <w:tr>
        <w:tc>
          <w:tcPr>
            <w:tcW w:type="dxa" w:w="5040"/>
          </w:tcPr>
          <w:p>
            <w:r>
              <w:t>Data breach</w:t>
            </w:r>
          </w:p>
        </w:tc>
        <w:tc>
          <w:tcPr>
            <w:tcW w:type="dxa" w:w="5040"/>
          </w:tcPr>
          <w:p>
            <w:r>
              <w:t>Encryption, MFA, least privilege, tenant isolation, audit, testing, incident response.</w:t>
            </w:r>
          </w:p>
        </w:tc>
      </w:tr>
      <w:tr>
        <w:tc>
          <w:tcPr>
            <w:tcW w:type="dxa" w:w="5040"/>
          </w:tcPr>
          <w:p>
            <w:r>
              <w:t>AI hallucination</w:t>
            </w:r>
          </w:p>
        </w:tc>
        <w:tc>
          <w:tcPr>
            <w:tcW w:type="dxa" w:w="5040"/>
          </w:tcPr>
          <w:p>
            <w:r>
              <w:t>Grounded retrieval, source-backed answers, no autonomous consequential decisions.</w:t>
            </w:r>
          </w:p>
        </w:tc>
      </w:tr>
      <w:tr>
        <w:tc>
          <w:tcPr>
            <w:tcW w:type="dxa" w:w="5040"/>
          </w:tcPr>
          <w:p>
            <w:r>
              <w:t>Partner concentration</w:t>
            </w:r>
          </w:p>
        </w:tc>
        <w:tc>
          <w:tcPr>
            <w:tcW w:type="dxa" w:w="5040"/>
          </w:tcPr>
          <w:p>
            <w:r>
              <w:t>Platform contracts, source onboarding model, reusable architecture, multi-institution roadmap.</w:t>
            </w:r>
          </w:p>
        </w:tc>
      </w:tr>
      <w:tr>
        <w:tc>
          <w:tcPr>
            <w:tcW w:type="dxa" w:w="5040"/>
          </w:tcPr>
          <w:p>
            <w:r>
              <w:t>Overbuilding</w:t>
            </w:r>
          </w:p>
        </w:tc>
        <w:tc>
          <w:tcPr>
            <w:tcW w:type="dxa" w:w="5040"/>
          </w:tcPr>
          <w:p>
            <w:r>
              <w:t>Ship TIX MVP first; defer advanced AI and cross-industry modules.</w:t>
            </w:r>
          </w:p>
        </w:tc>
      </w:tr>
    </w:tbl>
    <w:p>
      <w:pPr>
        <w:pStyle w:val="Heading1"/>
      </w:pPr>
      <w:r>
        <w:t>15. Recommended Repository Structure</w:t>
      </w:r>
    </w:p>
    <w:p>
      <w:r>
        <w:rPr>
          <w:rFonts w:ascii="Courier New" w:hAnsi="Courier New"/>
          <w:sz w:val="18"/>
        </w:rPr>
        <w:t>dip/</w:t>
        <w:br/>
        <w:t>├── AGENTS.md</w:t>
        <w:br/>
        <w:t>├── docs/</w:t>
        <w:br/>
        <w:t>├── apps/</w:t>
        <w:br/>
        <w:t>│   ├── web/</w:t>
        <w:br/>
        <w:t>│   └── api/</w:t>
        <w:br/>
        <w:t>├── workers/</w:t>
        <w:br/>
        <w:t>│   ├── ingestion/</w:t>
        <w:br/>
        <w:t>│   └── intelligence/</w:t>
        <w:br/>
        <w:t>├── packages/</w:t>
        <w:br/>
        <w:t>│   ├── ui/</w:t>
        <w:br/>
        <w:t>│   ├── i18n/</w:t>
        <w:br/>
        <w:t>│   └── shared/</w:t>
        <w:br/>
        <w:t>├── infra/</w:t>
        <w:br/>
        <w:t>├── scripts/</w:t>
        <w:br/>
        <w:t>└── tests/</w:t>
      </w:r>
    </w:p>
    <w:p>
      <w:pPr>
        <w:pStyle w:val="Heading1"/>
      </w:pPr>
      <w:r>
        <w:t>16. Immediate Build Order</w:t>
      </w:r>
    </w:p>
    <w:p>
      <w:r>
        <w:t>1. Profile and document the real telecom spreadsheets.</w:t>
      </w:r>
    </w:p>
    <w:p>
      <w:r>
        <w:t>2. Freeze v1 canonical data model and first source mapping.</w:t>
      </w:r>
    </w:p>
    <w:p>
      <w:r>
        <w:t>3. Create repository, CI/CD and environments.</w:t>
      </w:r>
    </w:p>
    <w:p>
      <w:r>
        <w:t>4. Implement identity, tenant, RBAC, MFA and audit foundations.</w:t>
      </w:r>
    </w:p>
    <w:p>
      <w:r>
        <w:t>5. Implement bilingual UI/i18n foundation.</w:t>
      </w:r>
    </w:p>
    <w:p>
      <w:r>
        <w:t>6. Implement immutable file ingestion and validation.</w:t>
      </w:r>
    </w:p>
    <w:p>
      <w:r>
        <w:t>7. Implement normalization and data-quality review.</w:t>
      </w:r>
    </w:p>
    <w:p>
      <w:r>
        <w:t>8. Implement business entity resolution and universal search.</w:t>
      </w:r>
    </w:p>
    <w:p>
      <w:r>
        <w:t>9. Implement TIX exposure/aging profile and portfolio dashboard.</w:t>
      </w:r>
    </w:p>
    <w:p>
      <w:r>
        <w:t>10. Implement reports and governed exports.</w:t>
      </w:r>
    </w:p>
    <w:p>
      <w:r>
        <w:t>11. Implement explainable rules-based risk v1.</w:t>
      </w:r>
    </w:p>
    <w:p>
      <w:r>
        <w:t>12. Run controlled pilot before predictive AI or bank expansion.</w:t>
      </w:r>
    </w:p>
    <w:p>
      <w:pPr>
        <w:pStyle w:val="Heading1"/>
      </w:pPr>
      <w:r>
        <w:t>17. Deliverable Package</w:t>
      </w:r>
    </w:p>
    <w:p>
      <w:r>
        <w:t>The accompanying engineering package contains:</w:t>
      </w:r>
    </w:p>
    <w:p>
      <w:pPr>
        <w:pStyle w:val="ListBullet"/>
      </w:pPr>
      <w:r>
        <w:t>PRODUCT_REQUIREMENTS.md</w:t>
      </w:r>
    </w:p>
    <w:p>
      <w:pPr>
        <w:pStyle w:val="ListBullet"/>
      </w:pPr>
      <w:r>
        <w:t>ARCHITECTURE.md</w:t>
      </w:r>
    </w:p>
    <w:p>
      <w:pPr>
        <w:pStyle w:val="ListBullet"/>
      </w:pPr>
      <w:r>
        <w:t>DATABASE_DESIGN.md</w:t>
      </w:r>
    </w:p>
    <w:p>
      <w:pPr>
        <w:pStyle w:val="ListBullet"/>
      </w:pPr>
      <w:r>
        <w:t>SECURITY_MODEL.md</w:t>
      </w:r>
    </w:p>
    <w:p>
      <w:pPr>
        <w:pStyle w:val="ListBullet"/>
      </w:pPr>
      <w:r>
        <w:t>API_STANDARDS.md</w:t>
      </w:r>
    </w:p>
    <w:p>
      <w:pPr>
        <w:pStyle w:val="ListBullet"/>
      </w:pPr>
      <w:r>
        <w:t>UI_DESIGN_SYSTEM.md</w:t>
      </w:r>
    </w:p>
    <w:p>
      <w:pPr>
        <w:pStyle w:val="ListBullet"/>
      </w:pPr>
      <w:r>
        <w:t>INTERNATIONALIZATION.md</w:t>
      </w:r>
    </w:p>
    <w:p>
      <w:pPr>
        <w:pStyle w:val="ListBullet"/>
      </w:pPr>
      <w:r>
        <w:t>DEVELOPMENT_RULES.md</w:t>
      </w:r>
    </w:p>
    <w:p>
      <w:pPr>
        <w:pStyle w:val="ListBullet"/>
      </w:pPr>
      <w:r>
        <w:t>TESTING_STRATEGY.md</w:t>
      </w:r>
    </w:p>
    <w:p>
      <w:pPr>
        <w:pStyle w:val="ListBullet"/>
      </w:pPr>
      <w:r>
        <w:t>DATA_GOVERNANCE.md</w:t>
      </w:r>
    </w:p>
    <w:p>
      <w:pPr>
        <w:pStyle w:val="ListBullet"/>
      </w:pPr>
      <w:r>
        <w:t>ROADMAP.md</w:t>
      </w:r>
    </w:p>
    <w:p>
      <w:pPr>
        <w:pStyle w:val="ListBullet"/>
      </w:pPr>
      <w:r>
        <w:t>AGENTS.md</w:t>
      </w:r>
    </w:p>
    <w:p/>
    <w:p>
      <w:pPr>
        <w:jc w:val="center"/>
      </w:pPr>
      <w:r>
        <w:rPr>
          <w:b/>
        </w:rPr>
        <w:t>Dival AI · Dival Intelligence Platform (DIP)</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Working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DIVAL AI  |  DIVAL INTELLIGENCE PLATFORM (DIP)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