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left"/>
      </w:pPr>
      <w:r>
        <w:rPr>
          <w:rFonts w:ascii="Calibri" w:hAnsi="Calibri"/>
          <w:b/>
          <w:color w:val="1F3A5F"/>
          <w:sz w:val="48"/>
        </w:rPr>
        <w:t>Backend Launch Risk Report</w:t>
      </w:r>
    </w:p>
    <w:p>
      <w:pPr>
        <w:spacing w:before="0" w:after="200" w:line="240" w:lineRule="auto"/>
        <w:jc w:val="left"/>
      </w:pPr>
      <w:r>
        <w:rPr>
          <w:rFonts w:ascii="Calibri" w:hAnsi="Calibri"/>
          <w:i/>
          <w:color w:val="555555"/>
          <w:sz w:val="22"/>
        </w:rPr>
        <w:t>IBYAPA mobile app | Prepared July 1, 2026</w:t>
      </w:r>
    </w:p>
    <w:p>
      <w:pPr>
        <w:spacing w:before="0" w:after="280" w:line="240" w:lineRule="auto"/>
        <w:jc w:val="left"/>
      </w:pPr>
      <w:r>
        <w:rPr>
          <w:rFonts w:ascii="Calibri" w:hAnsi="Calibri"/>
          <w:color w:val="555555"/>
          <w:sz w:val="21"/>
        </w:rPr>
        <w:t>Prepared for internal launch review. Scope: backend-facing issues that could block publication on the Google Play Store and Apple App Store.</w:t>
      </w:r>
    </w:p>
    <w:tbl>
      <w:tblPr>
        <w:tblW w:type="dxa" w:w="9360"/>
        <w:jc w:val="left"/>
        <w:tblLayout w:type="fixed"/>
        <w:tblLook w:firstColumn="1" w:firstRow="1" w:lastColumn="0" w:lastRow="0" w:noHBand="0" w:noVBand="1" w:val="04A0"/>
        <w:tblInd w:type="dxa" w:w="0"/>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Pr>
      <w:tblGrid>
        <w:gridCol w:w="9360"/>
      </w:tblGrid>
      <w:tr>
        <w:trPr/>
        <w:tc>
          <w:tcPr>
            <w:tcW w:type="dxa" w:w="9360"/>
            <w:tcMar>
              <w:top w:w="180" w:type="dxa"/>
              <w:bottom w:w="180" w:type="dxa"/>
              <w:start w:w="180" w:type="dxa"/>
              <w:end w:w="180" w:type="dxa"/>
            </w:tcMar>
            <w:shd w:fill="F4F6F9" w:val="clear" w:color="auto"/>
            <w:vAlign w:val="center"/>
          </w:tcPr>
          <w:p>
            <w:pPr>
              <w:spacing w:before="0" w:after="0" w:line="276" w:lineRule="auto"/>
              <w:jc w:val="left"/>
            </w:pPr>
            <w:r>
              <w:rPr>
                <w:rFonts w:ascii="Calibri" w:hAnsi="Calibri"/>
                <w:b/>
                <w:color w:val="1F3A5F"/>
                <w:sz w:val="22"/>
              </w:rPr>
              <w:t xml:space="preserve">Bottom line: </w:t>
            </w:r>
            <w:r>
              <w:rPr>
                <w:rFonts w:ascii="Calibri" w:hAnsi="Calibri"/>
                <w:color w:val="111827"/>
                <w:sz w:val="22"/>
              </w:rPr>
              <w:t>The app should not be submitted yet. The backend still has launch-blocking gaps in billing, account deletion, and entitlement consistency that can trigger store rejection or lock out valid users.</w:t>
            </w:r>
          </w:p>
        </w:tc>
      </w:tr>
    </w:tbl>
    <w:p>
      <w:pPr>
        <w:pStyle w:val="Heading1"/>
        <w:keepNext/>
      </w:pPr>
      <w:r>
        <w:t>Publication Blockers at a Glance</w:t>
      </w:r>
    </w:p>
    <w:tbl>
      <w:tblPr>
        <w:tblW w:type="dxa" w:w="9360"/>
        <w:jc w:val="left"/>
        <w:tblLayout w:type="fixed"/>
        <w:tblLook w:firstColumn="1" w:firstRow="1" w:lastColumn="0" w:lastRow="0" w:noHBand="0" w:noVBand="1" w:val="04A0"/>
        <w:tblInd w:type="dxa" w:w="12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1700"/>
        <w:gridCol w:w="3250"/>
        <w:gridCol w:w="1100"/>
        <w:gridCol w:w="3310"/>
      </w:tblGrid>
      <w:tr>
        <w:trPr/>
        <w:tc>
          <w:tcPr>
            <w:tcW w:type="dxa" w:w="1700"/>
            <w:tcMar>
              <w:top w:w="100" w:type="dxa"/>
              <w:bottom w:w="100" w:type="dxa"/>
              <w:start w:w="120" w:type="dxa"/>
              <w:end w:w="120" w:type="dxa"/>
            </w:tcMar>
            <w:shd w:fill="F2F4F7" w:val="clear" w:color="auto"/>
            <w:vAlign w:val="center"/>
          </w:tcPr>
          <w:p>
            <w:pPr>
              <w:spacing w:before="0" w:after="0" w:line="252" w:lineRule="auto"/>
              <w:jc w:val="left"/>
            </w:pPr>
            <w:r>
              <w:rPr>
                <w:rFonts w:ascii="Calibri" w:hAnsi="Calibri"/>
                <w:b/>
                <w:color w:val="1F3A5F"/>
                <w:sz w:val="21"/>
              </w:rPr>
              <w:t>Issue</w:t>
            </w:r>
          </w:p>
        </w:tc>
        <w:tc>
          <w:tcPr>
            <w:tcW w:type="dxa" w:w="3250"/>
            <w:tcMar>
              <w:top w:w="100" w:type="dxa"/>
              <w:bottom w:w="100" w:type="dxa"/>
              <w:start w:w="120" w:type="dxa"/>
              <w:end w:w="120" w:type="dxa"/>
            </w:tcMar>
            <w:shd w:fill="F2F4F7" w:val="clear" w:color="auto"/>
            <w:vAlign w:val="center"/>
          </w:tcPr>
          <w:p>
            <w:pPr>
              <w:spacing w:before="0" w:after="0" w:line="252" w:lineRule="auto"/>
              <w:jc w:val="left"/>
            </w:pPr>
            <w:r>
              <w:rPr>
                <w:rFonts w:ascii="Calibri" w:hAnsi="Calibri"/>
                <w:b/>
                <w:color w:val="1F3A5F"/>
                <w:sz w:val="21"/>
              </w:rPr>
              <w:t>Why it blocks publication</w:t>
            </w:r>
          </w:p>
        </w:tc>
        <w:tc>
          <w:tcPr>
            <w:tcW w:type="dxa" w:w="1100"/>
            <w:tcMar>
              <w:top w:w="100" w:type="dxa"/>
              <w:bottom w:w="100" w:type="dxa"/>
              <w:start w:w="120" w:type="dxa"/>
              <w:end w:w="120" w:type="dxa"/>
            </w:tcMar>
            <w:shd w:fill="F2F4F7" w:val="clear" w:color="auto"/>
            <w:vAlign w:val="center"/>
          </w:tcPr>
          <w:p>
            <w:pPr>
              <w:spacing w:before="0" w:after="0" w:line="252" w:lineRule="auto"/>
              <w:jc w:val="left"/>
            </w:pPr>
            <w:r>
              <w:rPr>
                <w:rFonts w:ascii="Calibri" w:hAnsi="Calibri"/>
                <w:b/>
                <w:color w:val="1F3A5F"/>
                <w:sz w:val="21"/>
              </w:rPr>
              <w:t>Severity</w:t>
            </w:r>
          </w:p>
        </w:tc>
        <w:tc>
          <w:tcPr>
            <w:tcW w:type="dxa" w:w="3310"/>
            <w:tcMar>
              <w:top w:w="100" w:type="dxa"/>
              <w:bottom w:w="100" w:type="dxa"/>
              <w:start w:w="120" w:type="dxa"/>
              <w:end w:w="120" w:type="dxa"/>
            </w:tcMar>
            <w:shd w:fill="F2F4F7" w:val="clear" w:color="auto"/>
            <w:vAlign w:val="center"/>
          </w:tcPr>
          <w:p>
            <w:pPr>
              <w:spacing w:before="0" w:after="0" w:line="252" w:lineRule="auto"/>
              <w:jc w:val="left"/>
            </w:pPr>
            <w:r>
              <w:rPr>
                <w:rFonts w:ascii="Calibri" w:hAnsi="Calibri"/>
                <w:b/>
                <w:color w:val="1F3A5F"/>
                <w:sz w:val="21"/>
              </w:rPr>
              <w:t>Must fix</w:t>
            </w:r>
          </w:p>
        </w:tc>
      </w:tr>
      <w:tr>
        <w:tc>
          <w:tcPr>
            <w:tcW w:type="dxa" w:w="1700"/>
            <w:vAlign w:val="center"/>
          </w:tcPr>
          <w:p>
            <w:pPr>
              <w:spacing w:before="0" w:after="0" w:line="264" w:lineRule="auto"/>
              <w:jc w:val="left"/>
            </w:pPr>
            <w:r>
              <w:rPr>
                <w:rFonts w:ascii="Calibri" w:hAnsi="Calibri"/>
                <w:color w:val="111827"/>
                <w:sz w:val="21"/>
              </w:rPr>
              <w:t>External digital subscription payments</w:t>
            </w:r>
          </w:p>
        </w:tc>
        <w:tc>
          <w:tcPr>
            <w:tcW w:type="dxa" w:w="3250"/>
            <w:vAlign w:val="center"/>
          </w:tcPr>
          <w:p>
            <w:pPr>
              <w:spacing w:before="0" w:after="0" w:line="264" w:lineRule="auto"/>
              <w:jc w:val="left"/>
            </w:pPr>
            <w:r>
              <w:rPr>
                <w:rFonts w:ascii="Calibri" w:hAnsi="Calibri"/>
                <w:color w:val="111827"/>
                <w:sz w:val="21"/>
              </w:rPr>
              <w:t>Digital access is sold through external MoMo/Airtel/card checkout flows rather than a store-approved in-app billing path.</w:t>
            </w:r>
          </w:p>
        </w:tc>
        <w:tc>
          <w:tcPr>
            <w:tcW w:type="dxa" w:w="1100"/>
            <w:vAlign w:val="center"/>
          </w:tcPr>
          <w:p>
            <w:pPr>
              <w:spacing w:before="0" w:after="0" w:line="264" w:lineRule="auto"/>
              <w:jc w:val="left"/>
            </w:pPr>
            <w:r>
              <w:rPr>
                <w:rFonts w:ascii="Calibri" w:hAnsi="Calibri"/>
                <w:b/>
                <w:color w:val="9B1C1C"/>
                <w:sz w:val="21"/>
              </w:rPr>
              <w:t>Critical</w:t>
            </w:r>
          </w:p>
        </w:tc>
        <w:tc>
          <w:tcPr>
            <w:tcW w:type="dxa" w:w="3310"/>
            <w:vAlign w:val="center"/>
          </w:tcPr>
          <w:p>
            <w:pPr>
              <w:spacing w:before="0" w:after="0" w:line="264" w:lineRule="auto"/>
              <w:jc w:val="left"/>
            </w:pPr>
            <w:r>
              <w:rPr>
                <w:rFonts w:ascii="Calibri" w:hAnsi="Calibri"/>
                <w:color w:val="111827"/>
                <w:sz w:val="21"/>
              </w:rPr>
              <w:t>Yes</w:t>
            </w:r>
          </w:p>
        </w:tc>
      </w:tr>
      <w:tr>
        <w:tc>
          <w:tcPr>
            <w:tcW w:type="dxa" w:w="1700"/>
            <w:vAlign w:val="center"/>
          </w:tcPr>
          <w:p>
            <w:pPr>
              <w:spacing w:before="0" w:after="0" w:line="264" w:lineRule="auto"/>
              <w:jc w:val="left"/>
            </w:pPr>
            <w:r>
              <w:rPr>
                <w:rFonts w:ascii="Calibri" w:hAnsi="Calibri"/>
                <w:color w:val="111827"/>
                <w:sz w:val="21"/>
              </w:rPr>
              <w:t>No account deletion flow</w:t>
            </w:r>
          </w:p>
        </w:tc>
        <w:tc>
          <w:tcPr>
            <w:tcW w:type="dxa" w:w="3250"/>
            <w:vAlign w:val="center"/>
          </w:tcPr>
          <w:p>
            <w:pPr>
              <w:spacing w:before="0" w:after="0" w:line="264" w:lineRule="auto"/>
              <w:jc w:val="left"/>
            </w:pPr>
            <w:r>
              <w:rPr>
                <w:rFonts w:ascii="Calibri" w:hAnsi="Calibri"/>
                <w:color w:val="111827"/>
                <w:sz w:val="21"/>
              </w:rPr>
              <w:t>The product still lacks a backend-backed delete-account path required by the stores for apps with user accounts.</w:t>
            </w:r>
          </w:p>
        </w:tc>
        <w:tc>
          <w:tcPr>
            <w:tcW w:type="dxa" w:w="1100"/>
            <w:vAlign w:val="center"/>
          </w:tcPr>
          <w:p>
            <w:pPr>
              <w:spacing w:before="0" w:after="0" w:line="264" w:lineRule="auto"/>
              <w:jc w:val="left"/>
            </w:pPr>
            <w:r>
              <w:rPr>
                <w:rFonts w:ascii="Calibri" w:hAnsi="Calibri"/>
                <w:b/>
                <w:color w:val="9B1C1C"/>
                <w:sz w:val="21"/>
              </w:rPr>
              <w:t>Critical</w:t>
            </w:r>
          </w:p>
        </w:tc>
        <w:tc>
          <w:tcPr>
            <w:tcW w:type="dxa" w:w="3310"/>
            <w:vAlign w:val="center"/>
          </w:tcPr>
          <w:p>
            <w:pPr>
              <w:spacing w:before="0" w:after="0" w:line="264" w:lineRule="auto"/>
              <w:jc w:val="left"/>
            </w:pPr>
            <w:r>
              <w:rPr>
                <w:rFonts w:ascii="Calibri" w:hAnsi="Calibri"/>
                <w:color w:val="111827"/>
                <w:sz w:val="21"/>
              </w:rPr>
              <w:t>Yes</w:t>
            </w:r>
          </w:p>
        </w:tc>
      </w:tr>
      <w:tr>
        <w:tc>
          <w:tcPr>
            <w:tcW w:type="dxa" w:w="1700"/>
            <w:vAlign w:val="center"/>
          </w:tcPr>
          <w:p>
            <w:pPr>
              <w:spacing w:before="0" w:after="0" w:line="264" w:lineRule="auto"/>
              <w:jc w:val="left"/>
            </w:pPr>
            <w:r>
              <w:rPr>
                <w:rFonts w:ascii="Calibri" w:hAnsi="Calibri"/>
                <w:color w:val="111827"/>
                <w:sz w:val="21"/>
              </w:rPr>
              <w:t>Unstable entitlement contract</w:t>
            </w:r>
          </w:p>
        </w:tc>
        <w:tc>
          <w:tcPr>
            <w:tcW w:type="dxa" w:w="3250"/>
            <w:vAlign w:val="center"/>
          </w:tcPr>
          <w:p>
            <w:pPr>
              <w:spacing w:before="0" w:after="0" w:line="264" w:lineRule="auto"/>
              <w:jc w:val="left"/>
            </w:pPr>
            <w:r>
              <w:rPr>
                <w:rFonts w:ascii="Calibri" w:hAnsi="Calibri"/>
                <w:color w:val="111827"/>
                <w:sz w:val="21"/>
              </w:rPr>
              <w:t>The app has to infer subscription state from multiple backend shapes, so transient profile failures can remove paid access.</w:t>
            </w:r>
          </w:p>
        </w:tc>
        <w:tc>
          <w:tcPr>
            <w:tcW w:type="dxa" w:w="1100"/>
            <w:vAlign w:val="center"/>
          </w:tcPr>
          <w:p>
            <w:pPr>
              <w:spacing w:before="0" w:after="0" w:line="264" w:lineRule="auto"/>
              <w:jc w:val="left"/>
            </w:pPr>
            <w:r>
              <w:rPr>
                <w:rFonts w:ascii="Calibri" w:hAnsi="Calibri"/>
                <w:b/>
                <w:color w:val="2E74B5"/>
                <w:sz w:val="21"/>
              </w:rPr>
              <w:t>High</w:t>
            </w:r>
          </w:p>
        </w:tc>
        <w:tc>
          <w:tcPr>
            <w:tcW w:type="dxa" w:w="3310"/>
            <w:vAlign w:val="center"/>
          </w:tcPr>
          <w:p>
            <w:pPr>
              <w:spacing w:before="0" w:after="0" w:line="264" w:lineRule="auto"/>
              <w:jc w:val="left"/>
            </w:pPr>
            <w:r>
              <w:rPr>
                <w:rFonts w:ascii="Calibri" w:hAnsi="Calibri"/>
                <w:color w:val="111827"/>
                <w:sz w:val="21"/>
              </w:rPr>
              <w:t>Yes</w:t>
            </w:r>
          </w:p>
        </w:tc>
      </w:tr>
      <w:tr>
        <w:tc>
          <w:tcPr>
            <w:tcW w:type="dxa" w:w="1700"/>
            <w:vAlign w:val="center"/>
          </w:tcPr>
          <w:p>
            <w:pPr>
              <w:spacing w:before="0" w:after="0" w:line="264" w:lineRule="auto"/>
              <w:jc w:val="left"/>
            </w:pPr>
            <w:r>
              <w:rPr>
                <w:rFonts w:ascii="Calibri" w:hAnsi="Calibri"/>
                <w:color w:val="111827"/>
                <w:sz w:val="21"/>
              </w:rPr>
              <w:t>Ambiguous payment state model</w:t>
            </w:r>
          </w:p>
        </w:tc>
        <w:tc>
          <w:tcPr>
            <w:tcW w:type="dxa" w:w="3250"/>
            <w:vAlign w:val="center"/>
          </w:tcPr>
          <w:p>
            <w:pPr>
              <w:spacing w:before="0" w:after="0" w:line="264" w:lineRule="auto"/>
              <w:jc w:val="left"/>
            </w:pPr>
            <w:r>
              <w:rPr>
                <w:rFonts w:ascii="Calibri" w:hAnsi="Calibri"/>
                <w:color w:val="111827"/>
                <w:sz w:val="21"/>
              </w:rPr>
              <w:t>Success, pending, cancelled, and failed states are inferred from inconsistent response keys and message strings.</w:t>
            </w:r>
          </w:p>
        </w:tc>
        <w:tc>
          <w:tcPr>
            <w:tcW w:type="dxa" w:w="1100"/>
            <w:vAlign w:val="center"/>
          </w:tcPr>
          <w:p>
            <w:pPr>
              <w:spacing w:before="0" w:after="0" w:line="264" w:lineRule="auto"/>
              <w:jc w:val="left"/>
            </w:pPr>
            <w:r>
              <w:rPr>
                <w:rFonts w:ascii="Calibri" w:hAnsi="Calibri"/>
                <w:b/>
                <w:color w:val="2E74B5"/>
                <w:sz w:val="21"/>
              </w:rPr>
              <w:t>High</w:t>
            </w:r>
          </w:p>
        </w:tc>
        <w:tc>
          <w:tcPr>
            <w:tcW w:type="dxa" w:w="3310"/>
            <w:vAlign w:val="center"/>
          </w:tcPr>
          <w:p>
            <w:pPr>
              <w:spacing w:before="0" w:after="0" w:line="264" w:lineRule="auto"/>
              <w:jc w:val="left"/>
            </w:pPr>
            <w:r>
              <w:rPr>
                <w:rFonts w:ascii="Calibri" w:hAnsi="Calibri"/>
                <w:color w:val="111827"/>
                <w:sz w:val="21"/>
              </w:rPr>
              <w:t>Yes</w:t>
            </w:r>
          </w:p>
        </w:tc>
      </w:tr>
    </w:tbl>
    <w:p>
      <w:pPr>
        <w:spacing w:after="40"/>
      </w:pPr>
    </w:p>
    <w:p>
      <w:pPr>
        <w:pStyle w:val="Heading1"/>
        <w:keepNext/>
      </w:pPr>
      <w:r>
        <w:t>Detailed Findings</w:t>
      </w:r>
    </w:p>
    <w:p>
      <w:pPr>
        <w:pStyle w:val="Heading2"/>
        <w:keepNext/>
      </w:pPr>
      <w:r>
        <w:t>1. External payment rails for digital subscriptions</w:t>
      </w:r>
    </w:p>
    <w:p>
      <w:pPr>
        <w:spacing w:before="0" w:after="100" w:line="269" w:lineRule="auto"/>
        <w:jc w:val="left"/>
      </w:pPr>
      <w:r>
        <w:rPr>
          <w:rFonts w:ascii="Calibri" w:hAnsi="Calibri"/>
          <w:b/>
          <w:color w:val="1F3A5F"/>
          <w:sz w:val="22"/>
        </w:rPr>
        <w:t xml:space="preserve">Evidence: </w:t>
      </w:r>
      <w:r>
        <w:rPr>
          <w:rFonts w:ascii="Calibri" w:hAnsi="Calibri"/>
          <w:color w:val="111827"/>
          <w:sz w:val="22"/>
        </w:rPr>
        <w:t>The payment flow in the mobile client still initiates subscription access through external MoMo, Airtel Money, and card checkout endpoints, and the entitlement logic unlocks digital content after that payment state is confirmed.</w:t>
      </w:r>
    </w:p>
    <w:p>
      <w:pPr>
        <w:spacing w:before="0" w:after="100" w:line="269" w:lineRule="auto"/>
        <w:jc w:val="left"/>
      </w:pPr>
      <w:r>
        <w:rPr>
          <w:rFonts w:ascii="Calibri" w:hAnsi="Calibri"/>
          <w:b/>
          <w:color w:val="1F3A5F"/>
          <w:sz w:val="22"/>
        </w:rPr>
        <w:t xml:space="preserve">Why it blocks publication: </w:t>
      </w:r>
      <w:r>
        <w:rPr>
          <w:rFonts w:ascii="Calibri" w:hAnsi="Calibri"/>
          <w:color w:val="111827"/>
          <w:sz w:val="22"/>
        </w:rPr>
        <w:t>For digital content consumed in-app, this is the highest-risk publication blocker because the stores can require a store-approved billing model. If the billing path is not compliant, review can be rejected or the app can be removed later.</w:t>
      </w:r>
    </w:p>
    <w:p>
      <w:pPr>
        <w:spacing w:before="0" w:after="100" w:line="269" w:lineRule="auto"/>
        <w:jc w:val="left"/>
      </w:pPr>
      <w:r>
        <w:rPr>
          <w:rFonts w:ascii="Calibri" w:hAnsi="Calibri"/>
          <w:b/>
          <w:color w:val="1F3A5F"/>
          <w:sz w:val="22"/>
        </w:rPr>
        <w:t xml:space="preserve">Recommended backend fix: </w:t>
      </w:r>
      <w:r>
        <w:rPr>
          <w:rFonts w:ascii="Calibri" w:hAnsi="Calibri"/>
          <w:color w:val="111827"/>
          <w:sz w:val="22"/>
        </w:rPr>
        <w:t>Move the purchase path to the correct in-app billing model for digital goods, or if the business model is genuinely exempt, document that exemption and make the backend entitlement flow match the approved policy. Keep one canonical entitlement response after purchase.</w:t>
      </w:r>
    </w:p>
    <w:p>
      <w:pPr>
        <w:spacing w:before="0" w:after="100" w:line="269" w:lineRule="auto"/>
        <w:jc w:val="left"/>
      </w:pPr>
      <w:r>
        <w:rPr>
          <w:rFonts w:ascii="Calibri" w:hAnsi="Calibri"/>
          <w:b/>
          <w:color w:val="1F3A5F"/>
          <w:sz w:val="22"/>
        </w:rPr>
        <w:t xml:space="preserve">Impact if left unresolved: </w:t>
      </w:r>
      <w:r>
        <w:rPr>
          <w:rFonts w:ascii="Calibri" w:hAnsi="Calibri"/>
          <w:color w:val="111827"/>
          <w:sz w:val="22"/>
        </w:rPr>
        <w:t>This issue can prevent publication entirely, even if every screen looks polished, because it is a policy and monetization problem rather than a UI problem.</w:t>
      </w:r>
    </w:p>
    <w:p>
      <w:pPr>
        <w:pStyle w:val="Heading2"/>
        <w:keepNext/>
      </w:pPr>
      <w:r>
        <w:t>2. No account deletion endpoint or lifecycle</w:t>
      </w:r>
    </w:p>
    <w:p>
      <w:pPr>
        <w:spacing w:before="0" w:after="100" w:line="269" w:lineRule="auto"/>
        <w:jc w:val="left"/>
      </w:pPr>
      <w:r>
        <w:rPr>
          <w:rFonts w:ascii="Calibri" w:hAnsi="Calibri"/>
          <w:b/>
          <w:color w:val="1F3A5F"/>
          <w:sz w:val="22"/>
        </w:rPr>
        <w:t xml:space="preserve">Evidence: </w:t>
      </w:r>
      <w:r>
        <w:rPr>
          <w:rFonts w:ascii="Calibri" w:hAnsi="Calibri"/>
          <w:color w:val="111827"/>
          <w:sz w:val="22"/>
        </w:rPr>
        <w:t>The app does not currently expose a backend-backed self-service delete-account flow, and there is no visible delete-account API contract being consumed by the mobile client.</w:t>
      </w:r>
    </w:p>
    <w:p>
      <w:pPr>
        <w:spacing w:before="0" w:after="100" w:line="269" w:lineRule="auto"/>
        <w:jc w:val="left"/>
      </w:pPr>
      <w:r>
        <w:rPr>
          <w:rFonts w:ascii="Calibri" w:hAnsi="Calibri"/>
          <w:b/>
          <w:color w:val="1F3A5F"/>
          <w:sz w:val="22"/>
        </w:rPr>
        <w:t xml:space="preserve">Why it blocks publication: </w:t>
      </w:r>
      <w:r>
        <w:rPr>
          <w:rFonts w:ascii="Calibri" w:hAnsi="Calibri"/>
          <w:color w:val="111827"/>
          <w:sz w:val="22"/>
        </w:rPr>
        <w:t>Apps that allow user account creation must provide in-app account deletion. Without a working backend deletion path, the app is not ready for store review.</w:t>
      </w:r>
    </w:p>
    <w:p>
      <w:pPr>
        <w:spacing w:before="0" w:after="100" w:line="269" w:lineRule="auto"/>
        <w:jc w:val="left"/>
      </w:pPr>
      <w:r>
        <w:rPr>
          <w:rFonts w:ascii="Calibri" w:hAnsi="Calibri"/>
          <w:b/>
          <w:color w:val="1F3A5F"/>
          <w:sz w:val="22"/>
        </w:rPr>
        <w:t xml:space="preserve">Recommended backend fix: </w:t>
      </w:r>
      <w:r>
        <w:rPr>
          <w:rFonts w:ascii="Calibri" w:hAnsi="Calibri"/>
          <w:color w:val="111827"/>
          <w:sz w:val="22"/>
        </w:rPr>
        <w:t>Add a delete-account endpoint that revokes tokens, removes or anonymizes personal data as required, and returns a clear success response. The mobile profile/settings UI should then surface that action.</w:t>
      </w:r>
    </w:p>
    <w:p>
      <w:pPr>
        <w:spacing w:before="0" w:after="100" w:line="269" w:lineRule="auto"/>
        <w:jc w:val="left"/>
      </w:pPr>
      <w:r>
        <w:rPr>
          <w:rFonts w:ascii="Calibri" w:hAnsi="Calibri"/>
          <w:b/>
          <w:color w:val="1F3A5F"/>
          <w:sz w:val="22"/>
        </w:rPr>
        <w:t xml:space="preserve">Impact if left unresolved: </w:t>
      </w:r>
      <w:r>
        <w:rPr>
          <w:rFonts w:ascii="Calibri" w:hAnsi="Calibri"/>
          <w:color w:val="111827"/>
          <w:sz w:val="22"/>
        </w:rPr>
        <w:t>This is a store-compliance blocker, not a nice-to-have. If it is missing at submission time, the app is at high risk of rejection.</w:t>
      </w:r>
    </w:p>
    <w:p>
      <w:pPr>
        <w:pStyle w:val="Heading2"/>
        <w:keepNext/>
      </w:pPr>
      <w:r>
        <w:t>3. Unstable entitlement source of truth</w:t>
      </w:r>
    </w:p>
    <w:p>
      <w:pPr>
        <w:spacing w:before="0" w:after="100" w:line="269" w:lineRule="auto"/>
        <w:jc w:val="left"/>
      </w:pPr>
      <w:r>
        <w:rPr>
          <w:rFonts w:ascii="Calibri" w:hAnsi="Calibri"/>
          <w:b/>
          <w:color w:val="1F3A5F"/>
          <w:sz w:val="22"/>
        </w:rPr>
        <w:t xml:space="preserve">Evidence: </w:t>
      </w:r>
      <w:r>
        <w:rPr>
          <w:rFonts w:ascii="Calibri" w:hAnsi="Calibri"/>
          <w:color w:val="111827"/>
          <w:sz w:val="22"/>
        </w:rPr>
        <w:t>The client currently has to infer subscription state from several possible user and payment fields, including plan names, expiry fields, and payment status flags. When profile refresh fails, the current flow can downgrade a valid user to a no-access state.</w:t>
      </w:r>
    </w:p>
    <w:p>
      <w:pPr>
        <w:spacing w:before="0" w:after="100" w:line="269" w:lineRule="auto"/>
        <w:jc w:val="left"/>
      </w:pPr>
      <w:r>
        <w:rPr>
          <w:rFonts w:ascii="Calibri" w:hAnsi="Calibri"/>
          <w:b/>
          <w:color w:val="1F3A5F"/>
          <w:sz w:val="22"/>
        </w:rPr>
        <w:t xml:space="preserve">Why it blocks publication: </w:t>
      </w:r>
      <w:r>
        <w:rPr>
          <w:rFonts w:ascii="Calibri" w:hAnsi="Calibri"/>
          <w:color w:val="111827"/>
          <w:sz w:val="22"/>
        </w:rPr>
        <w:t>A temporary backend outage can make a paying user appear unsubscribed. That is an access-control and support problem, and it makes production behavior depend on transient server health.</w:t>
      </w:r>
    </w:p>
    <w:p>
      <w:pPr>
        <w:spacing w:before="0" w:after="100" w:line="269" w:lineRule="auto"/>
        <w:jc w:val="left"/>
      </w:pPr>
      <w:r>
        <w:rPr>
          <w:rFonts w:ascii="Calibri" w:hAnsi="Calibri"/>
          <w:b/>
          <w:color w:val="1F3A5F"/>
          <w:sz w:val="22"/>
        </w:rPr>
        <w:t xml:space="preserve">Recommended backend fix: </w:t>
      </w:r>
      <w:r>
        <w:rPr>
          <w:rFonts w:ascii="Calibri" w:hAnsi="Calibri"/>
          <w:color w:val="111827"/>
          <w:sz w:val="22"/>
        </w:rPr>
        <w:t>Return one canonical subscription summary object with explicit fields such as active, planName, expiresAt, language, and status. Distinguish 'session invalid' from 'subscription denied' and from 'temporary failure' in the API contract.</w:t>
      </w:r>
    </w:p>
    <w:p>
      <w:pPr>
        <w:spacing w:before="0" w:after="100" w:line="269" w:lineRule="auto"/>
        <w:jc w:val="left"/>
      </w:pPr>
      <w:r>
        <w:rPr>
          <w:rFonts w:ascii="Calibri" w:hAnsi="Calibri"/>
          <w:b/>
          <w:color w:val="1F3A5F"/>
          <w:sz w:val="22"/>
        </w:rPr>
        <w:t xml:space="preserve">Impact if left unresolved: </w:t>
      </w:r>
      <w:r>
        <w:rPr>
          <w:rFonts w:ascii="Calibri" w:hAnsi="Calibri"/>
          <w:color w:val="111827"/>
          <w:sz w:val="22"/>
        </w:rPr>
        <w:t>Without this fix, the app can lock out valid users during normal server noise, which is risky for launch and costly to support after release.</w:t>
      </w:r>
    </w:p>
    <w:p>
      <w:pPr>
        <w:pStyle w:val="Heading2"/>
        <w:keepNext/>
      </w:pPr>
      <w:r>
        <w:t>4. Ambiguous payment state model</w:t>
      </w:r>
    </w:p>
    <w:p>
      <w:pPr>
        <w:spacing w:before="0" w:after="100" w:line="269" w:lineRule="auto"/>
        <w:jc w:val="left"/>
      </w:pPr>
      <w:r>
        <w:rPr>
          <w:rFonts w:ascii="Calibri" w:hAnsi="Calibri"/>
          <w:b/>
          <w:color w:val="1F3A5F"/>
          <w:sz w:val="22"/>
        </w:rPr>
        <w:t xml:space="preserve">Evidence: </w:t>
      </w:r>
      <w:r>
        <w:rPr>
          <w:rFonts w:ascii="Calibri" w:hAnsi="Calibri"/>
          <w:color w:val="111827"/>
          <w:sz w:val="22"/>
        </w:rPr>
        <w:t>Payment success, pending, cancelled, and failed states are derived from multiple possible response keys and message strings instead of one deterministic backend status model.</w:t>
      </w:r>
    </w:p>
    <w:p>
      <w:pPr>
        <w:spacing w:before="0" w:after="100" w:line="269" w:lineRule="auto"/>
        <w:jc w:val="left"/>
      </w:pPr>
      <w:r>
        <w:rPr>
          <w:rFonts w:ascii="Calibri" w:hAnsi="Calibri"/>
          <w:b/>
          <w:color w:val="1F3A5F"/>
          <w:sz w:val="22"/>
        </w:rPr>
        <w:t xml:space="preserve">Why it blocks publication: </w:t>
      </w:r>
      <w:r>
        <w:rPr>
          <w:rFonts w:ascii="Calibri" w:hAnsi="Calibri"/>
          <w:color w:val="111827"/>
          <w:sz w:val="22"/>
        </w:rPr>
        <w:t>Ambiguous payment responses can leave a user in a stuck pending state, duplicate a payment attempt, or activate access before the backend has definitively confirmed the transaction.</w:t>
      </w:r>
    </w:p>
    <w:p>
      <w:pPr>
        <w:spacing w:before="0" w:after="100" w:line="269" w:lineRule="auto"/>
        <w:jc w:val="left"/>
      </w:pPr>
      <w:r>
        <w:rPr>
          <w:rFonts w:ascii="Calibri" w:hAnsi="Calibri"/>
          <w:b/>
          <w:color w:val="1F3A5F"/>
          <w:sz w:val="22"/>
        </w:rPr>
        <w:t xml:space="preserve">Recommended backend fix: </w:t>
      </w:r>
      <w:r>
        <w:rPr>
          <w:rFonts w:ascii="Calibri" w:hAnsi="Calibri"/>
          <w:color w:val="111827"/>
          <w:sz w:val="22"/>
        </w:rPr>
        <w:t>Standardize one payment status schema and one reference field for polling or webhook confirmation. Make the backend return a deterministic state machine so the app does not need heuristic parsing.</w:t>
      </w:r>
    </w:p>
    <w:p>
      <w:pPr>
        <w:spacing w:before="0" w:after="100" w:line="269" w:lineRule="auto"/>
        <w:jc w:val="left"/>
      </w:pPr>
      <w:r>
        <w:rPr>
          <w:rFonts w:ascii="Calibri" w:hAnsi="Calibri"/>
          <w:b/>
          <w:color w:val="1F3A5F"/>
          <w:sz w:val="22"/>
        </w:rPr>
        <w:t xml:space="preserve">Impact if left unresolved: </w:t>
      </w:r>
      <w:r>
        <w:rPr>
          <w:rFonts w:ascii="Calibri" w:hAnsi="Calibri"/>
          <w:color w:val="111827"/>
          <w:sz w:val="22"/>
        </w:rPr>
        <w:t>This issue can create billing disputes and failed entitlement reconciliation, which are serious launch risks even if the UI itself appears stable.</w:t>
      </w:r>
    </w:p>
    <w:p>
      <w:pPr>
        <w:pStyle w:val="Heading1"/>
        <w:keepNext/>
      </w:pPr>
      <w:r>
        <w:t>Secondary Backend Risk</w:t>
      </w:r>
    </w:p>
    <w:p>
      <w:pPr>
        <w:spacing w:before="0" w:after="100" w:line="269" w:lineRule="auto"/>
        <w:jc w:val="left"/>
      </w:pPr>
      <w:r>
        <w:rPr>
          <w:rFonts w:ascii="Calibri" w:hAnsi="Calibri"/>
          <w:b/>
          <w:color w:val="1F3A5F"/>
          <w:sz w:val="22"/>
        </w:rPr>
        <w:t xml:space="preserve">Free-trial / first-exam entitlement: </w:t>
      </w:r>
      <w:r>
        <w:rPr>
          <w:rFonts w:ascii="Calibri" w:hAnsi="Calibri"/>
          <w:color w:val="111827"/>
          <w:sz w:val="22"/>
        </w:rPr>
        <w:t>If the free first-exam offer remains part of the release plan, the backend should expose one authoritative trial-usage field and enforce it server-side. Right now the client-side flow still carries the state, which is too easy to drift from server reality and can create support disputes.</w:t>
      </w:r>
    </w:p>
    <w:p>
      <w:pPr>
        <w:pStyle w:val="Heading1"/>
        <w:keepNext/>
      </w:pPr>
      <w:r>
        <w:t>Release Recommendation</w:t>
      </w:r>
    </w:p>
    <w:p>
      <w:pPr>
        <w:spacing w:before="0" w:after="120" w:line="269" w:lineRule="auto"/>
        <w:jc w:val="left"/>
      </w:pPr>
      <w:r>
        <w:rPr>
          <w:rFonts w:ascii="Calibri" w:hAnsi="Calibri"/>
          <w:color w:val="111827"/>
          <w:sz w:val="22"/>
        </w:rPr>
        <w:t>Do not submit the app yet. Fix the payment-policy issue first, then implement account deletion, then standardize the entitlement and payment API contracts. After those changes, rerun an end-to-end publication review and confirm the mobile client no longer has to guess at subscription state.</w:t>
      </w:r>
    </w:p>
    <w:p>
      <w:pPr>
        <w:spacing w:before="0" w:after="0" w:line="269" w:lineRule="auto"/>
        <w:jc w:val="left"/>
      </w:pPr>
      <w:r>
        <w:rPr>
          <w:rFonts w:ascii="Calibri" w:hAnsi="Calibri"/>
          <w:b/>
          <w:color w:val="1F3A5F"/>
          <w:sz w:val="22"/>
        </w:rPr>
        <w:t xml:space="preserve">Recommended order of work: </w:t>
      </w:r>
      <w:r>
        <w:rPr>
          <w:rFonts w:ascii="Calibri" w:hAnsi="Calibri"/>
          <w:color w:val="111827"/>
          <w:sz w:val="22"/>
        </w:rPr>
        <w:t>1) billing model and entitlement policy, 2) delete-account endpoint and data lifecycle, 3) canonical subscription summary response, 4) canonical payment status response, 5) final launch QA.</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55555"/>
        <w:sz w:val="18"/>
      </w:rPr>
      <w:t>Internal launch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val="0"/>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