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32"/>
        </w:rPr>
        <w:t>CdL Groundwater Model — PEST++ Calibration Strategy</w:t>
      </w:r>
    </w:p>
    <w:p>
      <w:pPr>
        <w:spacing w:after="160"/>
      </w:pPr>
      <w:r>
        <w:rPr>
          <w:i/>
          <w:color w:val="595959"/>
          <w:sz w:val="19"/>
        </w:rPr>
        <w:t>DRYAD / NbS project · MODFLOW 6 + FloPy · pyEMU + PEST++ (pestpp-ies) · ensemble calibration</w:t>
      </w:r>
    </w:p>
    <w:p>
      <w:pPr>
        <w:spacing w:after="100"/>
      </w:pPr>
      <w:r>
        <w:rPr>
          <w:i w:val="0"/>
          <w:sz w:val="21"/>
        </w:rPr>
        <w:t>This note summarises the calibration strategy for the CdL catchment groundwater-flow model: the staged PEST++ workflow, the adjustable parameters and their bounds, the use of pilot points, and the calibration targets (state variables) — followed by a critical review of the data constraining the calibration. The calibration operates on the static, externalised MODFLOW 6 input files through a pyEMU PstFrom interface; each forward run applies parameter multipliers, runs MODFLOW 6, and post-processes the outputs. The calibration window is 1981–2026 (557 monthly stress periods after a 12-month warm-up), chosen to overlap the MODIS actual-ET record while keeping forward-run times short (~20–35 min per realisation).</w:t>
      </w:r>
    </w:p>
    <w:p>
      <w:pPr>
        <w:pStyle w:val="Heading1"/>
        <w:spacing w:before="160" w:after="60"/>
      </w:pPr>
      <w:r>
        <w:rPr>
          <w:color w:val="1F4E79"/>
        </w:rPr>
        <w:t>1. Staged workflow: base run → prior Monte-Carlo → iterative ensemble smoother</w:t>
      </w:r>
    </w:p>
    <w:p>
      <w:pPr>
        <w:spacing w:after="100"/>
      </w:pPr>
      <w:r>
        <w:rPr>
          <w:i w:val="0"/>
          <w:sz w:val="21"/>
        </w:rPr>
        <w:t>The calibration is run in three deliberate stages, controlled by the pestpp-ies NOPTMAX setting. Each stage de-risks the next before committing computer time.</w:t>
      </w:r>
    </w:p>
    <w:p>
      <w:pPr>
        <w:pStyle w:val="ListBullet"/>
        <w:spacing w:after="40"/>
      </w:pPr>
      <w:r>
        <w:rPr>
          <w:b/>
        </w:rPr>
        <w:t xml:space="preserve">NOPTMAX = 0  (base / normal run). </w:t>
      </w:r>
      <w:r>
        <w:t xml:space="preserve"> A single forward run at the initial (control-file) parameter values. It confirms the whole interface works end-to-end (multipliers applied, MODFLOW 6 converges, both observation files produced) and establishes the base residuals. Those base residuals are used to balance the observation-group weights, so this step must precede any ensemble run.</w:t>
      </w:r>
    </w:p>
    <w:p>
      <w:pPr>
        <w:pStyle w:val="ListBullet"/>
        <w:spacing w:after="40"/>
      </w:pPr>
      <w:r>
        <w:rPr>
          <w:b/>
        </w:rPr>
        <w:t xml:space="preserve">NOPTMAX = -1  (prior Monte-Carlo). </w:t>
      </w:r>
      <w:r>
        <w:t xml:space="preserve"> Draw an ensemble of parameter sets (here 150 realisations) from the prior parameter distributions and run each once, without any updating. This verifies the ensemble machinery, exposes the prior predictive spread of the outputs, and — critically for this stiff coupled model — proves that perturbed parameter draws still converge in acceptable time before hours are invested in the smoother.</w:t>
      </w:r>
    </w:p>
    <w:p>
      <w:pPr>
        <w:pStyle w:val="ListBullet"/>
        <w:spacing w:after="40"/>
      </w:pPr>
      <w:r>
        <w:rPr>
          <w:b/>
        </w:rPr>
        <w:t xml:space="preserve">NOPTMAX = 3  (iterative ensemble smoother, IES). </w:t>
      </w:r>
      <w:r>
        <w:t xml:space="preserve"> The actual calibration: the iterative ensemble smoother updates the parameter ensemble over a few iterations (here 3), using an ensemble-approximated Jacobian to move realisations toward lower objective function (phi). IES yields both a calibrated (posterior) parameter set and an ensemble that approximates parameter and predictive uncertainty — at a cost of a handful of forward runs per parameter, not one per parameter as in classical gradient methods.</w:t>
      </w:r>
    </w:p>
    <w:p>
      <w:pPr>
        <w:spacing w:after="100"/>
      </w:pPr>
      <w:r>
        <w:rPr>
          <w:i w:val="0"/>
          <w:sz w:val="21"/>
        </w:rPr>
        <w:t>Why this order: the base run is a cheap correctness check; the prior MC is a cheap viability check; only then is the expensive IES launched. In this project the sequence directly caught real problems (a broken forward run, and forward-run times of 8+ hours from an over-large stream inflow) that would have wasted days had we gone straight to IES.</w:t>
      </w:r>
    </w:p>
    <w:p>
      <w:pPr>
        <w:pStyle w:val="Heading1"/>
        <w:spacing w:before="160" w:after="60"/>
      </w:pPr>
      <w:r>
        <w:rPr>
          <w:color w:val="1F4E79"/>
        </w:rPr>
        <w:t>2. Adjustable parameters and bounds</w:t>
      </w:r>
    </w:p>
    <w:p>
      <w:pPr>
        <w:spacing w:after="100"/>
      </w:pPr>
      <w:r>
        <w:rPr>
          <w:i w:val="0"/>
          <w:sz w:val="21"/>
        </w:rPr>
        <w:t>257 adjustable parameters in nine groups. Bounds were tightened after early prior-MC runs to exclude extreme draws that made MODFLOW 6 non-convergent. All except the GHB head are multipliers on the model's existing values (par_style = multiplier); GHB head is an additive offset.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44"/>
          </w:tcPr>
          <w:p>
            <w:pPr>
              <w:spacing w:after="20"/>
            </w:pPr>
            <w:r>
              <w:rPr>
                <w:b/>
                <w:color w:val="FFFFFF"/>
                <w:sz w:val="18"/>
              </w:rPr>
              <w:t>Parameter group</w:t>
            </w:r>
          </w:p>
        </w:tc>
        <w:tc>
          <w:tcPr>
            <w:tcW w:type="dxa" w:w="4392"/>
          </w:tcPr>
          <w:p>
            <w:pPr>
              <w:spacing w:after="20"/>
            </w:pPr>
            <w:r>
              <w:rPr>
                <w:b/>
                <w:color w:val="FFFFFF"/>
                <w:sz w:val="18"/>
              </w:rPr>
              <w:t>Represents</w:t>
            </w:r>
          </w:p>
        </w:tc>
        <w:tc>
          <w:tcPr>
            <w:tcW w:type="dxa" w:w="1440"/>
          </w:tcPr>
          <w:p>
            <w:pPr>
              <w:spacing w:after="20"/>
            </w:pPr>
            <w:r>
              <w:rPr>
                <w:b/>
                <w:color w:val="FFFFFF"/>
                <w:sz w:val="18"/>
              </w:rPr>
              <w:t>Type</w:t>
            </w:r>
          </w:p>
        </w:tc>
        <w:tc>
          <w:tcPr>
            <w:tcW w:type="dxa" w:w="1512"/>
          </w:tcPr>
          <w:p>
            <w:pPr>
              <w:spacing w:after="20"/>
            </w:pPr>
            <w:r>
              <w:rPr>
                <w:b/>
                <w:color w:val="FFFFFF"/>
                <w:sz w:val="18"/>
              </w:rPr>
              <w:t>Bounds</w:t>
            </w:r>
          </w:p>
        </w:tc>
      </w:tr>
      <w:tr>
        <w:tc>
          <w:tcPr>
            <w:tcW w:type="dxa" w:w="1944"/>
          </w:tcPr>
          <w:p>
            <w:pPr>
              <w:spacing w:after="20"/>
            </w:pPr>
            <w:r>
              <w:rPr>
                <w:sz w:val="18"/>
              </w:rPr>
              <w:t>kh1, kh2, kh3</w:t>
            </w:r>
          </w:p>
        </w:tc>
        <w:tc>
          <w:tcPr>
            <w:tcW w:type="dxa" w:w="4392"/>
          </w:tcPr>
          <w:p>
            <w:pPr>
              <w:spacing w:after="20"/>
            </w:pPr>
            <w:r>
              <w:rPr>
                <w:sz w:val="18"/>
              </w:rPr>
              <w:t>Horizontal K of layers U1/U2/U3 (pilot points)</w:t>
            </w:r>
          </w:p>
        </w:tc>
        <w:tc>
          <w:tcPr>
            <w:tcW w:type="dxa" w:w="1440"/>
          </w:tcPr>
          <w:p>
            <w:pPr>
              <w:spacing w:after="20"/>
            </w:pPr>
            <w:r>
              <w:rPr>
                <w:sz w:val="18"/>
              </w:rPr>
              <w:t>multiplier</w:t>
            </w:r>
          </w:p>
        </w:tc>
        <w:tc>
          <w:tcPr>
            <w:tcW w:type="dxa" w:w="1512"/>
          </w:tcPr>
          <w:p>
            <w:pPr>
              <w:spacing w:after="20"/>
            </w:pPr>
            <w:r>
              <w:rPr>
                <w:sz w:val="18"/>
              </w:rPr>
              <w:t>0.2 – 5</w:t>
            </w:r>
          </w:p>
        </w:tc>
      </w:tr>
      <w:tr>
        <w:tc>
          <w:tcPr>
            <w:tcW w:type="dxa" w:w="1944"/>
          </w:tcPr>
          <w:p>
            <w:pPr>
              <w:spacing w:after="20"/>
            </w:pPr>
            <w:r>
              <w:rPr>
                <w:sz w:val="18"/>
              </w:rPr>
              <w:t>(Kv, tied)</w:t>
            </w:r>
          </w:p>
        </w:tc>
        <w:tc>
          <w:tcPr>
            <w:tcW w:type="dxa" w:w="4392"/>
          </w:tcPr>
          <w:p>
            <w:pPr>
              <w:spacing w:after="20"/>
            </w:pPr>
            <w:r>
              <w:rPr>
                <w:sz w:val="18"/>
              </w:rPr>
              <w:t>Vertical K = 0.1 × Kh (fixed anisotropy, not free)</w:t>
            </w:r>
          </w:p>
        </w:tc>
        <w:tc>
          <w:tcPr>
            <w:tcW w:type="dxa" w:w="1440"/>
          </w:tcPr>
          <w:p>
            <w:pPr>
              <w:spacing w:after="20"/>
            </w:pPr>
            <w:r>
              <w:rPr>
                <w:sz w:val="18"/>
              </w:rPr>
              <w:t>derived</w:t>
            </w:r>
          </w:p>
        </w:tc>
        <w:tc>
          <w:tcPr>
            <w:tcW w:type="dxa" w:w="1512"/>
          </w:tcPr>
          <w:p>
            <w:pPr>
              <w:spacing w:after="20"/>
            </w:pPr>
            <w:r>
              <w:rPr>
                <w:sz w:val="18"/>
              </w:rPr>
              <w:t>—</w:t>
            </w:r>
          </w:p>
        </w:tc>
      </w:tr>
      <w:tr>
        <w:tc>
          <w:tcPr>
            <w:tcW w:type="dxa" w:w="1944"/>
          </w:tcPr>
          <w:p>
            <w:pPr>
              <w:spacing w:after="20"/>
            </w:pPr>
            <w:r>
              <w:rPr>
                <w:sz w:val="18"/>
              </w:rPr>
              <w:t>ghb_cond</w:t>
            </w:r>
          </w:p>
        </w:tc>
        <w:tc>
          <w:tcPr>
            <w:tcW w:type="dxa" w:w="4392"/>
          </w:tcPr>
          <w:p>
            <w:pPr>
              <w:spacing w:after="20"/>
            </w:pPr>
            <w:r>
              <w:rPr>
                <w:sz w:val="18"/>
              </w:rPr>
              <w:t>GHB conductance, eastern alluvial inflow face</w:t>
            </w:r>
          </w:p>
        </w:tc>
        <w:tc>
          <w:tcPr>
            <w:tcW w:type="dxa" w:w="1440"/>
          </w:tcPr>
          <w:p>
            <w:pPr>
              <w:spacing w:after="20"/>
            </w:pPr>
            <w:r>
              <w:rPr>
                <w:sz w:val="18"/>
              </w:rPr>
              <w:t>multiplier</w:t>
            </w:r>
          </w:p>
        </w:tc>
        <w:tc>
          <w:tcPr>
            <w:tcW w:type="dxa" w:w="1512"/>
          </w:tcPr>
          <w:p>
            <w:pPr>
              <w:spacing w:after="20"/>
            </w:pPr>
            <w:r>
              <w:rPr>
                <w:sz w:val="18"/>
              </w:rPr>
              <w:t>0.1 – 10</w:t>
            </w:r>
          </w:p>
        </w:tc>
      </w:tr>
      <w:tr>
        <w:tc>
          <w:tcPr>
            <w:tcW w:type="dxa" w:w="1944"/>
          </w:tcPr>
          <w:p>
            <w:pPr>
              <w:spacing w:after="20"/>
            </w:pPr>
            <w:r>
              <w:rPr>
                <w:sz w:val="18"/>
              </w:rPr>
              <w:t>ghb_head</w:t>
            </w:r>
          </w:p>
        </w:tc>
        <w:tc>
          <w:tcPr>
            <w:tcW w:type="dxa" w:w="4392"/>
          </w:tcPr>
          <w:p>
            <w:pPr>
              <w:spacing w:after="20"/>
            </w:pPr>
            <w:r>
              <w:rPr>
                <w:sz w:val="18"/>
              </w:rPr>
              <w:t>GHB external head (eastern face)</w:t>
            </w:r>
          </w:p>
        </w:tc>
        <w:tc>
          <w:tcPr>
            <w:tcW w:type="dxa" w:w="1440"/>
          </w:tcPr>
          <w:p>
            <w:pPr>
              <w:spacing w:after="20"/>
            </w:pPr>
            <w:r>
              <w:rPr>
                <w:sz w:val="18"/>
              </w:rPr>
              <w:t>additive (m)</w:t>
            </w:r>
          </w:p>
        </w:tc>
        <w:tc>
          <w:tcPr>
            <w:tcW w:type="dxa" w:w="1512"/>
          </w:tcPr>
          <w:p>
            <w:pPr>
              <w:spacing w:after="20"/>
            </w:pPr>
            <w:r>
              <w:rPr>
                <w:sz w:val="18"/>
              </w:rPr>
              <w:t>-3 – +3</w:t>
            </w:r>
          </w:p>
        </w:tc>
      </w:tr>
      <w:tr>
        <w:tc>
          <w:tcPr>
            <w:tcW w:type="dxa" w:w="1944"/>
          </w:tcPr>
          <w:p>
            <w:pPr>
              <w:spacing w:after="20"/>
            </w:pPr>
            <w:r>
              <w:rPr>
                <w:sz w:val="18"/>
              </w:rPr>
              <w:t>drnout_cond</w:t>
            </w:r>
          </w:p>
        </w:tc>
        <w:tc>
          <w:tcPr>
            <w:tcW w:type="dxa" w:w="4392"/>
          </w:tcPr>
          <w:p>
            <w:pPr>
              <w:spacing w:after="20"/>
            </w:pPr>
            <w:r>
              <w:rPr>
                <w:sz w:val="18"/>
              </w:rPr>
              <w:t>Catchment-outlet lateral drain conductance</w:t>
            </w:r>
          </w:p>
        </w:tc>
        <w:tc>
          <w:tcPr>
            <w:tcW w:type="dxa" w:w="1440"/>
          </w:tcPr>
          <w:p>
            <w:pPr>
              <w:spacing w:after="20"/>
            </w:pPr>
            <w:r>
              <w:rPr>
                <w:sz w:val="18"/>
              </w:rPr>
              <w:t>multiplier</w:t>
            </w:r>
          </w:p>
        </w:tc>
        <w:tc>
          <w:tcPr>
            <w:tcW w:type="dxa" w:w="1512"/>
          </w:tcPr>
          <w:p>
            <w:pPr>
              <w:spacing w:after="20"/>
            </w:pPr>
            <w:r>
              <w:rPr>
                <w:sz w:val="18"/>
              </w:rPr>
              <w:t>0.1 – 10</w:t>
            </w:r>
          </w:p>
        </w:tc>
      </w:tr>
      <w:tr>
        <w:tc>
          <w:tcPr>
            <w:tcW w:type="dxa" w:w="1944"/>
          </w:tcPr>
          <w:p>
            <w:pPr>
              <w:spacing w:after="20"/>
            </w:pPr>
            <w:r>
              <w:rPr>
                <w:sz w:val="18"/>
              </w:rPr>
              <w:t>drnseep_cond</w:t>
            </w:r>
          </w:p>
        </w:tc>
        <w:tc>
          <w:tcPr>
            <w:tcW w:type="dxa" w:w="4392"/>
          </w:tcPr>
          <w:p>
            <w:pPr>
              <w:spacing w:after="20"/>
            </w:pPr>
            <w:r>
              <w:rPr>
                <w:sz w:val="18"/>
              </w:rPr>
              <w:t>Surface-seepage (exfiltration) drain conductance</w:t>
            </w:r>
          </w:p>
        </w:tc>
        <w:tc>
          <w:tcPr>
            <w:tcW w:type="dxa" w:w="1440"/>
          </w:tcPr>
          <w:p>
            <w:pPr>
              <w:spacing w:after="20"/>
            </w:pPr>
            <w:r>
              <w:rPr>
                <w:sz w:val="18"/>
              </w:rPr>
              <w:t>multiplier</w:t>
            </w:r>
          </w:p>
        </w:tc>
        <w:tc>
          <w:tcPr>
            <w:tcW w:type="dxa" w:w="1512"/>
          </w:tcPr>
          <w:p>
            <w:pPr>
              <w:spacing w:after="20"/>
            </w:pPr>
            <w:r>
              <w:rPr>
                <w:sz w:val="18"/>
              </w:rPr>
              <w:t>0.1 – 10</w:t>
            </w:r>
          </w:p>
        </w:tc>
      </w:tr>
      <w:tr>
        <w:tc>
          <w:tcPr>
            <w:tcW w:type="dxa" w:w="1944"/>
          </w:tcPr>
          <w:p>
            <w:pPr>
              <w:spacing w:after="20"/>
            </w:pPr>
            <w:r>
              <w:rPr>
                <w:sz w:val="18"/>
              </w:rPr>
              <w:t>drnwest_cond</w:t>
            </w:r>
          </w:p>
        </w:tc>
        <w:tc>
          <w:tcPr>
            <w:tcW w:type="dxa" w:w="4392"/>
          </w:tcPr>
          <w:p>
            <w:pPr>
              <w:spacing w:after="20"/>
            </w:pPr>
            <w:r>
              <w:rPr>
                <w:sz w:val="18"/>
              </w:rPr>
              <w:t>Western underflow drain conductance</w:t>
            </w:r>
          </w:p>
        </w:tc>
        <w:tc>
          <w:tcPr>
            <w:tcW w:type="dxa" w:w="1440"/>
          </w:tcPr>
          <w:p>
            <w:pPr>
              <w:spacing w:after="20"/>
            </w:pPr>
            <w:r>
              <w:rPr>
                <w:sz w:val="18"/>
              </w:rPr>
              <w:t>multiplier</w:t>
            </w:r>
          </w:p>
        </w:tc>
        <w:tc>
          <w:tcPr>
            <w:tcW w:type="dxa" w:w="1512"/>
          </w:tcPr>
          <w:p>
            <w:pPr>
              <w:spacing w:after="20"/>
            </w:pPr>
            <w:r>
              <w:rPr>
                <w:sz w:val="18"/>
              </w:rPr>
              <w:t>0.1 – 10</w:t>
            </w:r>
          </w:p>
        </w:tc>
      </w:tr>
      <w:tr>
        <w:tc>
          <w:tcPr>
            <w:tcW w:type="dxa" w:w="1944"/>
          </w:tcPr>
          <w:p>
            <w:pPr>
              <w:spacing w:after="20"/>
            </w:pPr>
            <w:r>
              <w:rPr>
                <w:sz w:val="18"/>
              </w:rPr>
              <w:t>sfr_inflow</w:t>
            </w:r>
          </w:p>
        </w:tc>
        <w:tc>
          <w:tcPr>
            <w:tcW w:type="dxa" w:w="4392"/>
          </w:tcPr>
          <w:p>
            <w:pPr>
              <w:spacing w:after="20"/>
            </w:pPr>
            <w:r>
              <w:rPr>
                <w:sz w:val="18"/>
              </w:rPr>
              <w:t>Specified stream inflow at the inlet reach (base 13,884 m3/d)</w:t>
            </w:r>
          </w:p>
        </w:tc>
        <w:tc>
          <w:tcPr>
            <w:tcW w:type="dxa" w:w="1440"/>
          </w:tcPr>
          <w:p>
            <w:pPr>
              <w:spacing w:after="20"/>
            </w:pPr>
            <w:r>
              <w:rPr>
                <w:sz w:val="18"/>
              </w:rPr>
              <w:t>multiplier</w:t>
            </w:r>
          </w:p>
        </w:tc>
        <w:tc>
          <w:tcPr>
            <w:tcW w:type="dxa" w:w="1512"/>
          </w:tcPr>
          <w:p>
            <w:pPr>
              <w:spacing w:after="20"/>
            </w:pPr>
            <w:r>
              <w:rPr>
                <w:sz w:val="18"/>
              </w:rPr>
              <w:t>0.3 – 2.0</w:t>
            </w:r>
          </w:p>
        </w:tc>
      </w:tr>
    </w:tbl>
    <w:p>
      <w:pPr>
        <w:spacing w:after="40"/>
      </w:pPr>
    </w:p>
    <w:p>
      <w:pPr>
        <w:spacing w:after="100"/>
      </w:pPr>
      <w:r>
        <w:rPr>
          <w:i w:val="0"/>
          <w:sz w:val="21"/>
        </w:rPr>
        <w:t>Deliberately NOT calibrated (fixed by concept/data): the Kh/Kv anisotropy ratio; UZF/ET extinction depths (land-cover rooting depths); lake bed-leakance and the pond stage-volume tables; the CRR/MVR cascade factors; recharge partitioning. These are held at literature- or field-informed values to keep the inverse problem identifiable.</w:t>
      </w:r>
    </w:p>
    <w:p>
      <w:pPr>
        <w:pStyle w:val="Heading1"/>
        <w:spacing w:before="160" w:after="60"/>
      </w:pPr>
      <w:r>
        <w:rPr>
          <w:color w:val="1F4E79"/>
        </w:rPr>
        <w:t>3. Pilot points for hydraulic conductivity</w:t>
      </w:r>
    </w:p>
    <w:p>
      <w:pPr>
        <w:spacing w:after="100"/>
      </w:pPr>
      <w:r>
        <w:rPr>
          <w:i w:val="0"/>
          <w:sz w:val="21"/>
        </w:rPr>
        <w:t>Estimating Kh independently at every one of the ~6,600 active cells per layer would be hopelessly over-parameterised and unstable. Instead, Kh is estimated at a sparse set of pilot points and interpolated to the full grid by ordinary kriging (exponential variogram, 800 m correlation range). This (i) reduces the unknowns from thousands to a few hundred, (ii) imposes geologically sensible spatial smoothness, and (iii) keeps the calibration well-posed. Pilot-point density follows each unit's geometry:</w:t>
      </w:r>
    </w:p>
    <w:p>
      <w:pPr>
        <w:pStyle w:val="ListBullet"/>
        <w:spacing w:after="40"/>
      </w:pPr>
      <w:r>
        <w:t>Layer 1 (U1 alluvium): 150 m spacing (~21 points) — the narrow valley alluvium needs finer resolution.</w:t>
      </w:r>
    </w:p>
    <w:p>
      <w:pPr>
        <w:pStyle w:val="ListBullet"/>
        <w:spacing w:after="40"/>
      </w:pPr>
      <w:r>
        <w:t>Layers 2 &amp; 3 (U2 terraces / U3 Plio-Miocene): 400 m spacing (~71 and ~159 points).</w:t>
      </w:r>
    </w:p>
    <w:p>
      <w:pPr>
        <w:spacing w:after="100"/>
      </w:pPr>
      <w:r>
        <w:rPr>
          <w:i w:val="0"/>
          <w:sz w:val="21"/>
        </w:rPr>
        <w:t>Each pilot point carries a multiplier on the base K field, so the prior is centred on the conceptual K values (U1 25, U2 40, U3 1.5 m/d) and the calibration adjusts them smoothly within the 0.2–5 bounds. Kv is tied to Kh by the fixed 0.1 ratio rather than calibrated separately.</w:t>
      </w:r>
    </w:p>
    <w:p>
      <w:pPr>
        <w:pStyle w:val="Heading1"/>
        <w:spacing w:before="160" w:after="60"/>
      </w:pPr>
      <w:r>
        <w:rPr>
          <w:color w:val="1F4E79"/>
        </w:rPr>
        <w:t>4. Calibration state variables (observation targets)</w:t>
      </w:r>
    </w:p>
    <w:p>
      <w:pPr>
        <w:spacing w:after="100"/>
      </w:pPr>
      <w:r>
        <w:rPr>
          <w:i w:val="0"/>
          <w:sz w:val="21"/>
        </w:rPr>
        <w:t>Two observation groups, both monthly over 1981–2026. Group weights are balanced so each contributes equal phi at the base run, after which the head weights are halved (they are qualitative — see below).</w:t>
      </w:r>
    </w:p>
    <w:p>
      <w:pPr>
        <w:pStyle w:val="ListBullet"/>
        <w:spacing w:after="40"/>
      </w:pPr>
      <w:r>
        <w:rPr>
          <w:b/>
        </w:rPr>
        <w:t xml:space="preserve">Heads. </w:t>
      </w:r>
      <w:r>
        <w:t xml:space="preserve"> Simulated heads at piezometers P0–P6, monthly (MODFLOW OBS package).</w:t>
      </w:r>
    </w:p>
    <w:p>
      <w:pPr>
        <w:pStyle w:val="ListBullet"/>
        <w:spacing w:after="40"/>
      </w:pPr>
      <w:r>
        <w:rPr>
          <w:b/>
        </w:rPr>
        <w:t xml:space="preserve">Actual ET (AET). </w:t>
      </w:r>
      <w:r>
        <w:t xml:space="preserve"> Simulated actual evapotranspiration (UZF ET + groundwater ET) aggregated to five land-cover zones (cork/holm oak, maritime pine, matos, grassland/crops, bare/built/water), monthly, compared against MODIS MOD16A2GF satellite AET.</w:t>
      </w:r>
    </w:p>
    <w:p>
      <w:pPr>
        <w:spacing w:after="100"/>
      </w:pPr>
      <w:r>
        <w:rPr>
          <w:i w:val="0"/>
          <w:sz w:val="21"/>
        </w:rPr>
        <w:t>There are no streamflow or lake-stage observations. The total is ~3,500 observations, of which the nonzero-weight subset (where real data exist) drives the fit.</w:t>
      </w:r>
    </w:p>
    <w:p>
      <w:pPr>
        <w:pStyle w:val="Heading1"/>
        <w:spacing w:before="160" w:after="60"/>
      </w:pPr>
      <w:r>
        <w:rPr>
          <w:color w:val="1F4E79"/>
        </w:rPr>
        <w:t>5. Critical review of the calibration data</w:t>
      </w:r>
    </w:p>
    <w:p>
      <w:pPr>
        <w:spacing w:after="100"/>
      </w:pPr>
      <w:r>
        <w:rPr>
          <w:i w:val="0"/>
          <w:sz w:val="21"/>
        </w:rPr>
        <w:t>The workflow and parameterisation are sound, but the information content of the observations is limited, and this should temper confidence in the posterior — especially for the stream inflow.</w:t>
      </w:r>
    </w:p>
    <w:p>
      <w:pPr>
        <w:pStyle w:val="ListBullet"/>
        <w:spacing w:after="40"/>
      </w:pPr>
      <w:r>
        <w:rPr>
          <w:b/>
        </w:rPr>
        <w:t xml:space="preserve">Heads are qualitative. </w:t>
      </w:r>
      <w:r>
        <w:t xml:space="preserve"> the P0–P6 series are qualitative placeholders (a seasonal May-high / Oct-low pattern), not surveyed water levels. They constrain seasonal phase and rough amplitude only, which is why they are down-weighted. Real, levelled piezometer time series would materially strengthen the calibration.</w:t>
      </w:r>
    </w:p>
    <w:p>
      <w:pPr>
        <w:pStyle w:val="ListBullet"/>
        <w:spacing w:after="40"/>
      </w:pPr>
      <w:r>
        <w:rPr>
          <w:b/>
        </w:rPr>
        <w:t xml:space="preserve">AET vs MODIS is a resolution/structural mismatch. </w:t>
      </w:r>
      <w:r>
        <w:t xml:space="preserve"> MODIS MOD16A2GF is a 500 m product and cannot resolve the CdL land-cover mosaic; its signal is nearly uniform (~500 mm/yr) whereas the model differentiates zones (oak ~410, pine ~345, grass ~340 mm/yr) and under-predicts overall. The AET group dominates phi (~1.0M) yet the prior ensemble spread is only ~1%, meaning the flow parameters have little leverage on zonal AET — the misfit is largely structural (satellite resolution + the ET/rooting parameterisation, which is not itself calibrated). IES may therefore reduce AET phi only modestly.</w:t>
      </w:r>
    </w:p>
    <w:p>
      <w:pPr>
        <w:pStyle w:val="ListBullet"/>
        <w:spacing w:after="40"/>
      </w:pPr>
      <w:r>
        <w:rPr>
          <w:b/>
        </w:rPr>
        <w:t xml:space="preserve">Stream inlet inflow is essentially unconstrained. </w:t>
      </w:r>
      <w:r>
        <w:t xml:space="preserve"> this is the weakest link. The inlet flux at reach 293 (node 3506) is not measured. It was derived as (external contributing area) x (baseflow yield), where the area multiplier is itself a guess: an initial value of 100x the watershed (=555,359 m3/d, ~6.4 m3/s) was physically implausible for a headwater catchment, passed straight through the network, and made the model numerically stiff; it was reduced to 2.5x (~13,884 m3/d, ~2.5x internal recharge) and is now a calibration parameter (multiplier 0.3–2.0). However, with no streamflow gauge anywhere in the model, this inflow is only constrained indirectly, through its weak effect on nearby (qualitative) heads and (biased) AET. It is therefore poorly identifiable and will trade off against recharge, K and drain conductances. There is also a conceptual tension: the boundary-condition review characterised CdL as a headwater catchment with no-flow divides, which sits uneasily with a large external inflow; 2.5x recharge is a pragmatic compromise, not an observation. Recommendation: obtain any streamflow or stage measurement at the inlet or outlet (even occasional spot gaugings) to constrain this term, or impose an informative prior and report the calibrated inflow as weakly constrained.</w:t>
      </w:r>
    </w:p>
    <w:p>
      <w:pPr>
        <w:pStyle w:val="ListBullet"/>
        <w:spacing w:after="40"/>
      </w:pPr>
      <w:r>
        <w:rPr>
          <w:b/>
        </w:rPr>
        <w:t xml:space="preserve">No streamflow observations at all. </w:t>
      </w:r>
      <w:r>
        <w:t xml:space="preserve"> the SFR network, the MVR/CRR runoff-reinfiltration cascade and the inflow carry no direct observations, so a whole compartment of the model is calibrated only through its indirect imprint on heads and AET. Any streamflow record would disproportionately improve identifiability.</w:t>
      </w:r>
    </w:p>
    <w:p>
      <w:pPr>
        <w:pStyle w:val="ListBullet"/>
        <w:spacing w:after="40"/>
      </w:pPr>
      <w:r>
        <w:rPr>
          <w:b/>
        </w:rPr>
        <w:t xml:space="preserve">Fixed structural assumptions. </w:t>
      </w:r>
      <w:r>
        <w:t xml:space="preserve"> fixed Kh/Kv anisotropy, uncalibrated ET extinction depths, and pond bed-leakance held at field-informed values are reasonable given the data, but they mean several first-order controls on the water balance are assumptions, not calibrated outcomes. Posterior uncertainty from IES will consequently be optimistic (it reflects only the adjustable parameters).</w:t>
      </w:r>
    </w:p>
    <w:p>
      <w:pPr>
        <w:spacing w:after="100"/>
      </w:pPr>
      <w:r>
        <w:rPr>
          <w:i/>
          <w:sz w:val="21"/>
        </w:rPr>
        <w:t>In short: the calibration machinery is appropriate and now efficient (prior MC: 149/150 successful, ~20–35 min per run), but it leans on head data that are qualitative and AET data that are structurally biased, with the stream inflow the least constrained parameter. The IES results should be read as a plausibility-constrained update rather than a tightly-identified calibration, and the stream-inflow posterior in particular should be reported with explicit caveats.</w:t>
      </w:r>
    </w:p>
    <w:p>
      <w:pPr>
        <w:pStyle w:val="Heading1"/>
        <w:spacing w:before="160" w:after="60"/>
      </w:pPr>
      <w:r>
        <w:rPr>
          <w:color w:val="1F4E79"/>
        </w:rPr>
        <w:t xml:space="preserve">6. Calibration campaign and results (August 2026)</w:t>
      </w:r>
    </w:p>
    <w:p>
      <w:pPr>
        <w:spacing w:after="80"/>
      </w:pPr>
      <w:r>
        <w:t xml:space="preserve">The strategy in §1–5 was executed end-to-end on the LNEG server after migrating the model and PEST workflow from the original workstation. During bring-up the setup was extended and several defects were fixed; the figures below supersede the earlier ones where they differ.</w:t>
      </w:r>
    </w:p>
    <w:p>
      <w:pPr>
        <w:pStyle w:val="ListBullet"/>
        <w:spacing w:after="40"/>
      </w:pPr>
      <w:r>
        <w:rPr>
          <w:b/>
        </w:rPr>
        <w:t xml:space="preserve">Setup changes. </w:t>
      </w:r>
      <w:r>
        <w:t xml:space="preserve"> Kh multiplier bounds widened to 0.2–5 (±5× the conceptual base K); prior ensemble raised to 150 realisations. Streamflow targets were added — the stream OUTLET discharge (regionalised from a donor gauge) is now a weighted observation, while the inlet is fixed as forcing (no longer a parameter). A one-sided inequality (GHB inflow &lt; western-drain outflow) was added as a soft constraint. The window is 1981–2026 (557 stress periods).</w:t>
      </w:r>
    </w:p>
    <w:p>
      <w:pPr>
        <w:pStyle w:val="ListBullet"/>
        <w:spacing w:after="40"/>
      </w:pPr>
      <w:r>
        <w:rPr>
          <w:b/>
        </w:rPr>
        <w:t xml:space="preserve">Robustness fixes. </w:t>
      </w:r>
      <w:r>
        <w:t xml:space="preserve"> Two defects that silently corrupted or failed realisations were corrected: (i) adaptive time-stepping (ATS) emitted a variable number of observation rows that broke the positional PEST instruction files, failing ~46% of realisations — observation output is now collapsed to one row per stress period, cutting failures to &lt;2%; (ii) the MODIS AET targets were rebuilt from the complete 8-day archive, raising usable monthly targets from 98 to 309.</w:t>
      </w:r>
    </w:p>
    <w:p>
      <w:pPr>
        <w:pStyle w:val="ListBullet"/>
        <w:spacing w:after="40"/>
      </w:pPr>
      <w:r>
        <w:rPr>
          <w:b/>
        </w:rPr>
        <w:t xml:space="preserve">Run completed. </w:t>
      </w:r>
      <w:r>
        <w:t xml:space="preserve"> Base run (interface + weight balancing) OK; prior Monte-Carlo 149/150 realisations successful (99.3%); IES run to 3 iterations (~150 realisations per iteration, ~38 min each).</w:t>
      </w:r>
    </w:p>
    <w:p>
      <w:pPr>
        <w:spacing w:after="80"/>
      </w:pPr>
      <w:r>
        <w:t xml:space="preserve">Objective-function (phi) reduction over the IES: prior 4.08×10⁶ → 2.22 → 1.92 → 1.81×10⁶, a 56% overall reduction. By observation group (prior→posterior):</w:t>
      </w:r>
    </w:p>
    <w:p>
      <w:pPr>
        <w:pStyle w:val="ListBullet"/>
        <w:spacing w:after="40"/>
      </w:pPr>
      <w:r>
        <w:rPr>
          <w:b/>
        </w:rPr>
        <w:t xml:space="preserve">Heads (piezometers + virtual outlet levels). </w:t>
      </w:r>
      <w:r>
        <w:t xml:space="preserve"> −76% phi; posterior RMSE ≈ 1.5 m and essentially unbiased — a good fit for a regional model.</w:t>
      </w:r>
    </w:p>
    <w:p>
      <w:pPr>
        <w:pStyle w:val="ListBullet"/>
        <w:spacing w:after="40"/>
      </w:pPr>
      <w:r>
        <w:rPr>
          <w:b/>
        </w:rPr>
        <w:t xml:space="preserve">Streamflow outlet. </w:t>
      </w:r>
      <w:r>
        <w:t xml:space="preserve"> −66% phi; RMSE ≈ 29% of mean discharge — a reasonable baseflow fit.</w:t>
      </w:r>
    </w:p>
    <w:p>
      <w:pPr>
        <w:pStyle w:val="ListBullet"/>
        <w:spacing w:after="40"/>
      </w:pPr>
      <w:r>
        <w:rPr>
          <w:b/>
        </w:rPr>
        <w:t xml:space="preserve">Actual ET (AET). </w:t>
      </w:r>
      <w:r>
        <w:t xml:space="preserve"> −22% phi only; the posterior under-predicts MODIS by ~30%.</w:t>
      </w:r>
    </w:p>
    <w:p>
      <w:pPr>
        <w:pStyle w:val="ListBullet"/>
        <w:spacing w:after="40"/>
      </w:pPr>
      <w:r>
        <w:rPr>
          <w:b/>
        </w:rPr>
        <w:t xml:space="preserve">GHB&lt;DRN inequality. </w:t>
      </w:r>
      <w:r>
        <w:t xml:space="preserve"> satisfied at the posterior (violated at the prior).</w:t>
      </w:r>
    </w:p>
    <w:p>
      <w:pPr>
        <w:pStyle w:val="Heading1"/>
        <w:spacing w:before="160" w:after="60"/>
      </w:pPr>
      <w:r>
        <w:rPr>
          <w:color w:val="1F4E79"/>
        </w:rPr>
        <w:t xml:space="preserve">7. Critical review of results and outlook</w:t>
      </w:r>
    </w:p>
    <w:p>
      <w:pPr>
        <w:spacing w:after="80"/>
      </w:pPr>
      <w:r>
        <w:t xml:space="preserve">The calibration is mechanically sound and fits the parameter-sensitive data (heads, streamflow) well, but two results warrant caution.</w:t>
      </w:r>
    </w:p>
    <w:p>
      <w:pPr>
        <w:pStyle w:val="ListBullet"/>
        <w:spacing w:after="40"/>
      </w:pPr>
      <w:r>
        <w:rPr>
          <w:b/>
        </w:rPr>
        <w:t xml:space="preserve">Over-fitting of the K field. </w:t>
      </w:r>
      <w:r>
        <w:t xml:space="preserve"> ~59% of the Kh pilot points reach their bounds at the posterior, rising through the iterations (44% → 61% → 59%) while the phi gain per iteration collapses (−45%, −14%, −6%). The bounds are physically reasonable (±5× lithology-based base K — U1 25, U2 40, U3 1.5 m/d, giving 5–125, 8–200, 0.3–7.5 m/d), so the pile-up is genuine over-fitting, not a bounds artefact: the smoother buys most of its post-first-iteration fit by driving pilot points to extreme, spatially rough (checkerboard) K. The good head fit is thus partly achieved through unrealistic K structure. Iteration 1 (44% at bounds, −45% phi) is the healthier fit/roughness trade-off.</w:t>
      </w:r>
    </w:p>
    <w:p>
      <w:pPr>
        <w:pStyle w:val="ListBullet"/>
        <w:spacing w:after="40"/>
      </w:pPr>
      <w:r>
        <w:rPr>
          <w:b/>
        </w:rPr>
        <w:t xml:space="preserve">AET is a structural misfit. </w:t>
      </w:r>
      <w:r>
        <w:t xml:space="preserve"> AET barely responds to the calibrated K/boundary parameters (~1% prior spread, −22% phi); its ~30% under-prediction is controlled by the uncalibrated ET/recharge parameterisation and the MODIS resolution mismatch (§5), not by flow parameters. AET is best read as a soft anchor, not a driver of the fit.</w:t>
      </w:r>
    </w:p>
    <w:p>
      <w:pPr>
        <w:spacing w:after="80"/>
      </w:pPr>
      <w:r>
        <w:t xml:space="preserve">Outlook and next steps:</w:t>
      </w:r>
    </w:p>
    <w:p>
      <w:pPr>
        <w:pStyle w:val="ListBullet"/>
        <w:spacing w:after="40"/>
      </w:pPr>
      <w:r>
        <w:rPr>
          <w:b/>
        </w:rPr>
        <w:t xml:space="preserve">Spatial (Tikhonov) regularisation — priority. </w:t>
      </w:r>
      <w:r>
        <w:t xml:space="preserve"> Add explicit smoothness regularisation: first-order (preferred-difference) prior-information equations that penalise the log-K difference between neighbouring pilot points, activated in the smoother by a regularisation factor. This directly targets the checkerboard — keeping the K field smooth and near-physical while retaining the head fit — and complements the geostatistical prior (which smooths the prior draw but not the ensemble update). It is the natural next step to obtain a defensible posterior K field.</w:t>
      </w:r>
    </w:p>
    <w:p>
      <w:pPr>
        <w:pStyle w:val="ListBullet"/>
        <w:spacing w:after="40"/>
      </w:pPr>
      <w:r>
        <w:rPr>
          <w:b/>
        </w:rPr>
        <w:t xml:space="preserve">Iteration choice. </w:t>
      </w:r>
      <w:r>
        <w:t xml:space="preserve"> Pending regularisation, prefer the iteration-1 ensemble over the final one (best fit-versus-roughness balance).</w:t>
      </w:r>
    </w:p>
    <w:p>
      <w:pPr>
        <w:pStyle w:val="ListBullet"/>
        <w:spacing w:after="40"/>
      </w:pPr>
      <w:r>
        <w:rPr>
          <w:b/>
        </w:rPr>
        <w:t xml:space="preserve">Data. </w:t>
      </w:r>
      <w:r>
        <w:t xml:space="preserve"> The §5 priorities stand: real levelled piezometer series and any streamflow/stage gauging would most improve identifiability — the streamflow-outlet target added here is regionalised, not measured.</w:t>
      </w:r>
    </w:p>
    <w:p>
      <w:pPr>
        <w:pStyle w:val="ListBullet"/>
        <w:spacing w:after="40"/>
      </w:pPr>
      <w:r>
        <w:rPr>
          <w:b/>
        </w:rPr>
        <w:t xml:space="preserve">AET. </w:t>
      </w:r>
      <w:r>
        <w:t xml:space="preserve"> To let AET inform parameters, ET/recharge/UZF parameters must enter the calibration; otherwise report it as a soft constraint.</w:t>
      </w:r>
    </w:p>
    <w:p>
      <w:pPr>
        <w:spacing w:after="80"/>
      </w:pPr>
      <w:r>
        <w:rPr>
          <w:i/>
          <w:sz w:val="21"/>
        </w:rPr>
        <w:t xml:space="preserve">In short: the rebuilt calibration is robust and fits heads and baseflow well, but the un-regularised posterior over-fits K to its physical bounds. Explicit smoothness regularisation is the priority next step, and the posterior K field and stream terms should be reported with smoothness- and identifiability-caveats.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