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32"/>
        </w:rPr>
        <w:t xml:space="preserve">CdL Groundwater Model — PEST-optimized parameter set (warm-start initial parameters)</w:t>
      </w:r>
    </w:p>
    <w:p>
      <w:pPr>
        <w:spacing w:after="80"/>
      </w:pPr>
      <w:r>
        <w:t xml:space="preserve">These are the parameter values the CdL MODFLOW 6 model is initialised from — its warm start, applied at build time when USE_PEST_PARAMS = True. They are extracted by extract_pest_optimised.py into pest_optimised.npz and are the single best (minimum-phi) realisation of the final iteration of a prior pestpp-ies calibration: realisation 53, iteration 3, phi = 1,798,090 (grid ncpl = 6,609). At build, the Kh multiplier field is applied to the base K, and the boundary-condition multipliers/offset to the GHB, drains and stream inflow.</w:t>
      </w:r>
    </w:p>
    <w:p>
      <w:pPr>
        <w:pStyle w:val="Heading1"/>
        <w:spacing w:before="160" w:after="60"/>
      </w:pPr>
      <w:r>
        <w:rPr>
          <w:color w:val="1F4E79"/>
        </w:rPr>
        <w:t xml:space="preserve">1. Boundary-condition, drain and inflow parameters</w:t>
      </w:r>
    </w:p>
    <w:p>
      <w:pPr>
        <w:spacing w:after="80"/>
      </w:pPr>
      <w:r>
        <w:t xml:space="preserve">Scalar multipliers on the model's base values; the GHB external head is an additive offset in metres.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392"/>
        <w:gridCol w:w="1440"/>
        <w:gridCol w:w="1512"/>
      </w:tblGrid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Parameter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Represents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Optimised value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ghb_cond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GHB conductance (eastern alluvial inflow face)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0.207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ghb_head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GHB external head (eastern face)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additive (m)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+ 1.03 m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drnseep_cond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Surface-seepage (exfiltration) drain conductance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0.050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drnwest_u1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Western underflow drain conductance — layer U1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0.052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drnwest_dp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Western underflow drain conductance — deep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6.805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drnsec_dp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Secondary-outlet drain conductance — deep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0.050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drnsec_u1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Secondary-outlet drain — layer U1 (inactive)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1.000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drnout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Catchment-outlet drain (retired; loader back-compat)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1.000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sz w:val="18"/>
              </w:rPr>
              <w:t xml:space="preserve">sfr_inflow</w:t>
            </w:r>
          </w:p>
        </w:tc>
        <w:tc>
          <w:tcPr>
            <w:tcW w:type="dxa" w:w="4392"/>
          </w:tcPr>
          <w:p>
            <w:pPr>
              <w:spacing w:after="20"/>
            </w:pPr>
            <w:r>
              <w:rPr>
                <w:sz w:val="18"/>
              </w:rPr>
              <w:t xml:space="preserve">Stream inlet inflow (fixed forcing; not calibrated)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8"/>
              </w:rPr>
              <w:t xml:space="preserve">multiplier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8"/>
              </w:rPr>
              <w:t xml:space="preserve">× 1.000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color w:val="1F4E79"/>
        </w:rPr>
        <w:t xml:space="preserve">2. Horizontal hydraulic conductivity (Kh) field</w:t>
      </w:r>
    </w:p>
    <w:p>
      <w:pPr>
        <w:spacing w:after="80"/>
      </w:pPr>
      <w:r>
        <w:t xml:space="preserve">kh_mult is a per-cell multiplier on the conceptual base K (U1 25, U2 40, U3 1.5 m/d); the effective initial K = base × multiplier. Vertical K is tied at Kv = 0.1 × Kh (fixed anisotropy).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400"/>
        <w:gridCol w:w="3094"/>
        <w:gridCol w:w="3094"/>
      </w:tblGrid>
      <w:tr>
        <w:tc>
          <w:tcPr>
            <w:tcW w:type="dxa" w:w="1700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Layer (unit)</w:t>
            </w:r>
          </w:p>
        </w:tc>
        <w:tc>
          <w:tcPr>
            <w:tcW w:type="dxa" w:w="1400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Base K (m/d)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Optimised multiplier (min / median / max)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Effective K, m/d (min / median / max)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sz w:val="18"/>
              </w:rPr>
              <w:t xml:space="preserve">U1 (alluvium)</w:t>
            </w:r>
          </w:p>
        </w:tc>
        <w:tc>
          <w:tcPr>
            <w:tcW w:type="dxa" w:w="1400"/>
          </w:tcPr>
          <w:p>
            <w:pPr>
              <w:spacing w:after="2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0.20 / 1.00 / 3.19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5.0 / 25.0 / 79.7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sz w:val="18"/>
              </w:rPr>
              <w:t xml:space="preserve">U2 (terraces)</w:t>
            </w:r>
          </w:p>
        </w:tc>
        <w:tc>
          <w:tcPr>
            <w:tcW w:type="dxa" w:w="1400"/>
          </w:tcPr>
          <w:p>
            <w:pPr>
              <w:spacing w:after="2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0.20 / 1.00 / 4.68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8.0 / 40.0 / 187.4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sz w:val="18"/>
              </w:rPr>
              <w:t xml:space="preserve">U3 (Plio-Miocene)</w:t>
            </w:r>
          </w:p>
        </w:tc>
        <w:tc>
          <w:tcPr>
            <w:tcW w:type="dxa" w:w="1400"/>
          </w:tcPr>
          <w:p>
            <w:pPr>
              <w:spacing w:after="20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0.20 / 0.22 / 5.00</w:t>
            </w:r>
          </w:p>
        </w:tc>
        <w:tc>
          <w:tcPr>
            <w:tcW w:type="dxa" w:w="3094"/>
          </w:tcPr>
          <w:p>
            <w:pPr>
              <w:spacing w:after="20"/>
            </w:pPr>
            <w:r>
              <w:rPr>
                <w:sz w:val="18"/>
              </w:rPr>
              <w:t xml:space="preserve">0.30 / 0.34 / 7.5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sz w:val="21"/>
        </w:rPr>
        <w:t xml:space="preserve">Note: several pilot points reach the 0.2–5 multiplier bounds (U3 in particular sits near its lower bound, median 0.22), reflecting the over-fitting discussed in the strategy note (§7). To refresh this set from a newer calibration, re-run extract_pest_optimised.py against the latest master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