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TECHNICAL REPORT</w:t>
      </w:r>
    </w:p>
    <w:p>
      <w:pPr>
        <w:spacing w:after="240"/>
      </w:pPr>
      <w:r>
        <w:rPr>
          <w:i/>
          <w:iCs/>
          <w:sz w:val="26"/>
          <w:szCs w:val="26"/>
        </w:rPr>
        <w:t xml:space="preserve">Apple Product Pricing and Performance Analysis (2020 to 2026)</w:t>
      </w:r>
    </w:p>
    <w:p>
      <w:pPr>
        <w:spacing w:after="80"/>
      </w:pPr>
      <w:r>
        <w:rPr>
          <w:b/>
          <w:bCs/>
          <w:sz w:val="22"/>
          <w:szCs w:val="22"/>
        </w:rPr>
        <w:t xml:space="preserve">Vephla University Data Analytics Programme</w:t>
      </w:r>
    </w:p>
    <w:p>
      <w:pPr>
        <w:spacing w:after="360"/>
      </w:pPr>
      <w:r>
        <w:rPr>
          <w:sz w:val="22"/>
          <w:szCs w:val="22"/>
        </w:rPr>
        <w:t xml:space="preserve">Prepared by Alaiye Oluwatimileyin | Student ID: VEPH/50B/DA084</w:t>
      </w:r>
    </w:p>
    <w:p>
      <w:pPr>
        <w:pStyle w:val="Heading1"/>
        <w:spacing w:after="160" w:before="280"/>
      </w:pPr>
      <w:r>
        <w:t xml:space="preserve">1. Outline</w:t>
      </w:r>
    </w:p>
    <w:p>
      <w:pPr>
        <w:spacing w:after="200"/>
      </w:pPr>
      <w:r>
        <w:t xml:space="preserve">This report documents the full process of analysing Apple product pricing and performance data from 2020 to 2026, using Microsoft Excel. It covers the objective of the project, the source and structure of the dataset, the data cleaning and preprocessing steps taken, the questions that guided the analysis, the core findings from the dashboard, and the recommendations that follow. The report closes with a conclusion on what the analysis showed overall, its limitations, and areas for further research.</w:t>
      </w:r>
    </w:p>
    <w:p>
      <w:pPr>
        <w:pStyle w:val="Heading1"/>
        <w:spacing w:after="160" w:before="280"/>
      </w:pPr>
      <w:r>
        <w:t xml:space="preserve">2. Introduction</w:t>
      </w:r>
    </w:p>
    <w:p>
      <w:pPr>
        <w:spacing w:after="200"/>
      </w:pPr>
      <w:r>
        <w:t xml:space="preserve">The objective of this project was to analyse six years of Apple product listings across two major e commerce platforms and build a dashboard that communicates how pricing has moved over time, how categories compare on price and rating, and which sales events and models drive the most engagement.</w:t>
      </w:r>
    </w:p>
    <w:p>
      <w:pPr>
        <w:spacing w:after="200"/>
      </w:pPr>
      <w:r>
        <w:t xml:space="preserve">The problem being addressed is that a raw feed of daily product listings, on its own, does not reveal the underlying structure of a market. It does not show whether prices are rising or falling in real terms, whether higher priced categories are perceived as higher quality, which promotional events actually move the most value, or how reliably stock is maintained. This project set out to convert that raw feed into a structured, visual analysis that answers those questions directly.</w:t>
      </w:r>
    </w:p>
    <w:p>
      <w:pPr>
        <w:spacing w:after="200"/>
      </w:pPr>
      <w:r>
        <w:t xml:space="preserve">The dataset used was Apple product pricing and performance data collected from Amazon and Flipkart between 2020 and 2026, provided as coursework material for the Vephla University Data Analytics Programme. The methodology used Microsoft Excel throughout, including PivotTables, VLOOKUP, calculated fields, and slicers, to clean, structure, and visualise the data.</w:t>
      </w:r>
    </w:p>
    <w:p>
      <w:pPr>
        <w:pStyle w:val="Heading1"/>
        <w:spacing w:after="160" w:before="280"/>
      </w:pPr>
      <w:r>
        <w:t xml:space="preserve">3. Story of Data</w:t>
      </w:r>
    </w:p>
    <w:p>
      <w:pPr>
        <w:spacing w:after="200"/>
      </w:pPr>
      <w:r>
        <w:t xml:space="preserve">The dataset contains 80,000 daily product listing records spanning September 19, 2020 to July 31, 2026, across two platforms, Amazon and Flipkart. Each record captures the date, platform, product category, model name, condition (new or renewed and refurbished), launch price, current price in both USD and INR, discount percentage, sales event (where applicable), stock status, rating, and review count for a single listing on a single day.</w:t>
      </w:r>
    </w:p>
    <w:p>
      <w:pPr>
        <w:spacing w:after="200"/>
      </w:pPr>
      <w:r>
        <w:t xml:space="preserve">The dataset covers 31 distinct Apple models across 4 product categories: iPhone, Mac, iPad, and Watch. Coverage is not evenly split across categories, with iPhone accounting for 28,589 of the 80,000 records, Mac for 18,020, Watch for 17,865, and iPad for 15,526. Listing volume also grows over the years covered, from 464 records in the partial year of 2020 to 24,144 in 2025, reflecting both the platform's growing catalog and more frequent tracking in later years.</w:t>
      </w:r>
    </w:p>
    <w:p>
      <w:pPr>
        <w:spacing w:after="200"/>
      </w:pPr>
      <w:r>
        <w:t xml:space="preserve">Limitations identified in the dataset include a 2026 figure that reflects only seven months of data (through July), a reviews count field that is more reliable as a same day snapshot than as a lifetime popularity measure, and coverage limited to two platforms, which may not represent Apple's full retail footprint. These limitations are addressed in detail in Section 4 and are factored into how the findings in this report should be interpreted.</w:t>
      </w:r>
    </w:p>
    <w:p>
      <w:pPr>
        <w:pStyle w:val="Heading1"/>
        <w:spacing w:after="160" w:before="280"/>
      </w:pPr>
      <w:r>
        <w:t xml:space="preserve">4. Data Splitting and Preprocessing</w:t>
      </w:r>
    </w:p>
    <w:p>
      <w:pPr>
        <w:pStyle w:val="Heading2"/>
        <w:spacing w:after="160" w:before="280"/>
      </w:pPr>
      <w:r>
        <w:t xml:space="preserve">Cleaning steps</w:t>
      </w:r>
    </w:p>
    <w:p>
      <w:pPr>
        <w:pStyle w:val="ListParagraph"/>
        <w:numPr>
          <w:ilvl w:val="0"/>
          <w:numId w:val="2"/>
        </w:numPr>
        <w:spacing w:after="120"/>
      </w:pPr>
      <w:r>
        <w:t xml:space="preserve">Date values were confirmed as proper date fields rather than text, which was required for the multi year price trend PivotTable to group correctly by year.</w:t>
      </w:r>
    </w:p>
    <w:p>
      <w:pPr>
        <w:pStyle w:val="ListParagraph"/>
        <w:numPr>
          <w:ilvl w:val="0"/>
          <w:numId w:val="2"/>
        </w:numPr>
        <w:spacing w:after="120"/>
      </w:pPr>
      <w:r>
        <w:t xml:space="preserve">Price fields (Launch Price and Current Price, in both USD and INR) were already stored as clean numeric values, so no text to number conversion was required, unlike fields that sometimes arrive with currency symbols or comma separators.</w:t>
      </w:r>
    </w:p>
    <w:p>
      <w:pPr>
        <w:pStyle w:val="ListParagraph"/>
        <w:numPr>
          <w:ilvl w:val="0"/>
          <w:numId w:val="2"/>
        </w:numPr>
        <w:spacing w:after="120"/>
      </w:pPr>
      <w:r>
        <w:t xml:space="preserve">The full dataset of 80,000 records was checked for exact duplicate rows, and none were found.</w:t>
      </w:r>
    </w:p>
    <w:p>
      <w:pPr>
        <w:pStyle w:val="Heading2"/>
        <w:spacing w:after="160" w:before="280"/>
      </w:pPr>
      <w:r>
        <w:t xml:space="preserve">Missing value handling</w:t>
      </w:r>
    </w:p>
    <w:p>
      <w:pPr>
        <w:pStyle w:val="ListParagraph"/>
        <w:numPr>
          <w:ilvl w:val="0"/>
          <w:numId w:val="2"/>
        </w:numPr>
        <w:spacing w:after="120"/>
      </w:pPr>
      <w:r>
        <w:t xml:space="preserve">The Sale Event field was blank for 73,351 of 80,000 records (91.7 percent). This is a genuine absence rather than a data quality issue: a blank Sale Event means that listing was not tied to a named promotional event on that day, so it was treated conceptually as a "No Event" category rather than as missing data to be corrected.</w:t>
      </w:r>
    </w:p>
    <w:p>
      <w:pPr>
        <w:pStyle w:val="ListParagraph"/>
        <w:numPr>
          <w:ilvl w:val="0"/>
          <w:numId w:val="2"/>
        </w:numPr>
        <w:spacing w:after="120"/>
      </w:pPr>
      <w:r>
        <w:t xml:space="preserve">No other field in the dataset contained missing values.</w:t>
      </w:r>
    </w:p>
    <w:p>
      <w:pPr>
        <w:pStyle w:val="Heading2"/>
        <w:spacing w:after="160" w:before="280"/>
      </w:pPr>
      <w:r>
        <w:t xml:space="preserve">Transformations</w:t>
      </w:r>
    </w:p>
    <w:p>
      <w:pPr>
        <w:pStyle w:val="ListParagraph"/>
        <w:numPr>
          <w:ilvl w:val="0"/>
          <w:numId w:val="2"/>
        </w:numPr>
        <w:spacing w:after="120"/>
      </w:pPr>
      <w:r>
        <w:t xml:space="preserve">A Year field was derived from the Date column to support the multi year price trend PivotTable and line chart.</w:t>
      </w:r>
    </w:p>
    <w:p>
      <w:pPr>
        <w:pStyle w:val="ListParagraph"/>
        <w:numPr>
          <w:ilvl w:val="0"/>
          <w:numId w:val="2"/>
        </w:numPr>
        <w:spacing w:after="120"/>
      </w:pPr>
      <w:r>
        <w:t xml:space="preserve">Reviews Count was aggregated using the average per model rather than a sum, since each row represents an independent daily listing snapshot rather than a distinct sale. Summing would have overstated engagement for models tracked over a longer period simply because they appear in more rows, rather than reflecting genuinely higher demand.</w:t>
      </w:r>
    </w:p>
    <w:p>
      <w:pPr>
        <w:pStyle w:val="ListParagraph"/>
        <w:numPr>
          <w:ilvl w:val="0"/>
          <w:numId w:val="2"/>
        </w:numPr>
        <w:spacing w:after="120"/>
      </w:pPr>
      <w:r>
        <w:t xml:space="preserve">Sales event performance was calculated as the sum of Current Price USD restricted to rows carrying a named event, to represent total transacted value during each event window rather than an average price.</w:t>
      </w:r>
    </w:p>
    <w:p>
      <w:pPr>
        <w:pStyle w:val="ListParagraph"/>
        <w:numPr>
          <w:ilvl w:val="0"/>
          <w:numId w:val="2"/>
        </w:numPr>
        <w:spacing w:after="120"/>
      </w:pPr>
      <w:r>
        <w:t xml:space="preserve">VLOOKUP was used to cross reference model name and product category values between the raw data sheet and the summary sheets while building and checking each PivotTable.</w:t>
      </w:r>
    </w:p>
    <w:p>
      <w:pPr>
        <w:pStyle w:val="Heading2"/>
        <w:spacing w:after="160" w:before="280"/>
      </w:pPr>
      <w:r>
        <w:t xml:space="preserve">Industry context and stakeholders</w:t>
      </w:r>
    </w:p>
    <w:p>
      <w:pPr>
        <w:spacing w:after="200"/>
      </w:pPr>
      <w:r>
        <w:t xml:space="preserve">This analysis sits within the consumer electronics and e commerce retail sector. The stakeholders who would find this analysis valuable include Apple's retail and category management teams tracking how pricing holds up across categories and years, e commerce platform pricing teams at Amazon and Flipkart deciding markdown depth and timing around sales events, and consumer facing analysts assessing which Apple categories hold their value best. The value to the business lies in identifying which categories and models command premium pricing, which sales event drives the most transacted value, and how reliably stock is being maintained across the catalog.</w:t>
      </w:r>
    </w:p>
    <w:p>
      <w:pPr>
        <w:pStyle w:val="Heading1"/>
        <w:spacing w:after="160" w:before="280"/>
      </w:pPr>
      <w:r>
        <w:t xml:space="preserve">5. Pre Analysis</w:t>
      </w:r>
    </w:p>
    <w:p>
      <w:pPr>
        <w:spacing w:after="200"/>
      </w:pPr>
      <w:r>
        <w:t xml:space="preserve">Before building the dashboard, several trends were identified from an initial review of the raw listing data. The most immediate was the price gap suggested by category names alone: Mac products appeared consistently priced far above Watch products, suggesting category would be a strong driver of average price once aggregated.</w:t>
      </w:r>
    </w:p>
    <w:p>
      <w:pPr>
        <w:spacing w:after="200"/>
      </w:pPr>
      <w:r>
        <w:t xml:space="preserve">A potential relationship was also anticipated between price and rating, specifically whether the highest priced category, expected to be Mac, would also carry a meaningfully higher average rating than lower priced categories such as Watch, on the assumption that premium pricing might track with premium perceived quality.</w:t>
      </w:r>
    </w:p>
    <w:p>
      <w:pPr>
        <w:spacing w:after="200"/>
      </w:pPr>
      <w:r>
        <w:t xml:space="preserve">The key questions that guided the analysis were: how has Apple's average selling price moved from 2020 to 2026; which category commands the highest price and which carries the highest rating; which sales event generates the most transacted value; which models draw the most consistent customer engagement; and how available is stock across the catalog.</w:t>
      </w:r>
    </w:p>
    <w:p>
      <w:pPr>
        <w:pStyle w:val="Heading1"/>
        <w:spacing w:after="160" w:before="280"/>
      </w:pPr>
      <w:r>
        <w:t xml:space="preserve">6. In Analysis</w:t>
      </w:r>
    </w:p>
    <w:p>
      <w:pPr>
        <w:spacing w:after="200"/>
      </w:pPr>
      <w:r>
        <w:t xml:space="preserve">During the analysis stage, several preliminary observations emerged that required further verification before being treated as confirmed findings.</w:t>
      </w:r>
    </w:p>
    <w:p>
      <w:pPr>
        <w:spacing w:after="200"/>
      </w:pPr>
      <w:r>
        <w:t xml:space="preserve">One preliminary observation was that average ratings across all four product categories initially appeared almost identical once calculated, clustering between 4.448 and 4.451. This was verified against the raw data rather than treated as a rounding artefact, and confirmed as a genuine finding: Apple's rating consistency holds regardless of category or price point.</w:t>
      </w:r>
    </w:p>
    <w:p>
      <w:pPr>
        <w:spacing w:after="200"/>
      </w:pPr>
      <w:r>
        <w:t xml:space="preserve">A second preliminary observation concerned the Reviews Count field. An initial sum by model produced values in the millions that scaled almost directly with how many days a model had been tracked, rather than reflecting a meaningful popularity signal. Switching the calculation to an average per listing, as described in Section 4, corrected this distortion and produced the ranking used in the final dashboard.</w:t>
      </w:r>
    </w:p>
    <w:p>
      <w:pPr>
        <w:spacing w:after="200"/>
      </w:pPr>
      <w:r>
        <w:t xml:space="preserve">The Excel techniques used throughout this stage included PivotTables to aggregate price, rating, and review data by category, year, model, and sales event; VLOOKUP to cross check values across sheets; and slicers connected to the product category and model fields so the dashboard could be filtered interactively.</w:t>
      </w:r>
    </w:p>
    <w:p>
      <w:pPr>
        <w:pStyle w:val="Heading1"/>
        <w:spacing w:after="160" w:before="280"/>
      </w:pPr>
      <w:r>
        <w:t xml:space="preserve">7. Post Analysis and Insights</w:t>
      </w:r>
    </w:p>
    <w:p>
      <w:pPr>
        <w:spacing w:after="200"/>
      </w:pPr>
      <w:r>
        <w:t xml:space="preserve">The completed dashboard confirmed several of the patterns anticipated during pre analysis and revealed additional findings that had not been anticipated.</w:t>
      </w:r>
    </w:p>
    <w:p>
      <w:pPr>
        <w:spacing w:after="200"/>
      </w:pPr>
      <w:r>
        <w:t xml:space="preserve">As expected, Mac proved to be the highest priced category by a wide margin, averaging $1,382.49 against $758.67 for iPhone, $573.08 for iPad, and $398.64 for Watch. However, the anticipated link between price and rating did not hold: average ratings across all four categories sit within three thousandths of a point of each other, from iPhone at 4.451 down to Watch at 4.448, meaning category price tier has no meaningful relationship with how customers rate Apple's products.</w:t>
      </w:r>
    </w:p>
    <w:p>
      <w:pPr>
        <w:spacing w:after="200"/>
      </w:pPr>
      <w:r>
        <w:t xml:space="preserve">The price trend confirmed a clear multi year climb followed by a recent pullback. Average current price rose from $662.20 in 2020 to a peak of $801.93 in 2024, before easing to $799.67 in 2025 and $759.80 through the first seven months of 2026. Because the 2026 figure covers only part of the year, this recent decline should be treated as provisional rather than confirmed.</w:t>
      </w:r>
    </w:p>
    <w:p>
      <w:pPr>
        <w:spacing w:after="200"/>
      </w:pPr>
      <w:r>
        <w:t xml:space="preserve">An unanticipated finding was the scale of Black Friday's lead over every other sales event. Black Friday generated $1,711,159.12 in transacted value, nearly double Great Indian Festival at $968,730.80, despite the dataset drawing roughly half its volume from Flipkart, a platform strongly associated with Indian shopping events. A second unanticipated finding was that the most reviewed model overall, the iPhone 12 Pro 128GB at an average of 3,723 reviews per listing, is one of the oldest models in the dataset rather than a recent release, which likely reflects its longer presence in the market as much as genuinely higher active demand. A third finding worth noting is that every model in the top 10 most expensive list is either a MacBook Pro or a Pro or Pro Max iPhone, confirming that premium configurations, not simply premium categories, sit at the top of Apple's price ladder.</w:t>
      </w:r>
    </w:p>
    <w:p>
      <w:pPr>
        <w:pStyle w:val="Heading1"/>
        <w:spacing w:after="160" w:before="280"/>
      </w:pPr>
      <w:r>
        <w:t xml:space="preserve">8. Data Visualizations and Charts</w:t>
      </w:r>
    </w:p>
    <w:p>
      <w:pPr>
        <w:pStyle w:val="Heading2"/>
        <w:spacing w:after="160" w:before="280"/>
      </w:pPr>
      <w:r>
        <w:t xml:space="preserve">KPI Cards</w:t>
      </w:r>
    </w:p>
    <w:p>
      <w:pPr>
        <w:spacing w:after="200"/>
      </w:pPr>
      <w:r>
        <w:t xml:space="preserve">Four headline cards summarising overall average rating, the top sales event by value, the latest year's average price, and the overall in stock share, giving a manager a one glance summary before drilling into any chart.</w:t>
      </w:r>
    </w:p>
    <w:p>
      <w:pPr>
        <w:pStyle w:val="Heading2"/>
        <w:spacing w:after="160" w:before="280"/>
      </w:pPr>
      <w:r>
        <w:t xml:space="preserve">Product Category (Bar Chart)</w:t>
      </w:r>
    </w:p>
    <w:p>
      <w:pPr>
        <w:spacing w:after="200"/>
      </w:pPr>
      <w:r>
        <w:t xml:space="preserve">Shows average current price by product category, making the gap between Mac and the other three categories immediately visible.</w:t>
      </w:r>
    </w:p>
    <w:p>
      <w:pPr>
        <w:pStyle w:val="Heading2"/>
        <w:spacing w:after="160" w:before="280"/>
      </w:pPr>
      <w:r>
        <w:t xml:space="preserve">Price Trend (Line Chart)</w:t>
      </w:r>
    </w:p>
    <w:p>
      <w:pPr>
        <w:spacing w:after="200"/>
      </w:pPr>
      <w:r>
        <w:t xml:space="preserve">Shows average current price by year from 2020 to 2026, making the climb to a 2024 peak and the subsequent pullback easy to trace.</w:t>
      </w:r>
    </w:p>
    <w:p>
      <w:pPr>
        <w:pStyle w:val="Heading2"/>
        <w:spacing w:after="160" w:before="280"/>
      </w:pPr>
      <w:r>
        <w:t xml:space="preserve">Sales Event (Bar Chart)</w:t>
      </w:r>
    </w:p>
    <w:p>
      <w:pPr>
        <w:spacing w:after="200"/>
      </w:pPr>
      <w:r>
        <w:t xml:space="preserve">Shows total transacted value by sales event, making Black Friday's lead over Great Indian Festival, Big Billion Days, and Prime Day easy to compare.</w:t>
      </w:r>
    </w:p>
    <w:p>
      <w:pPr>
        <w:pStyle w:val="Heading2"/>
        <w:spacing w:after="160" w:before="280"/>
      </w:pPr>
      <w:r>
        <w:t xml:space="preserve">Reviewed Apple Products (Bar Chart)</w:t>
      </w:r>
    </w:p>
    <w:p>
      <w:pPr>
        <w:spacing w:after="200"/>
      </w:pPr>
      <w:r>
        <w:t xml:space="preserve">A horizontal bar chart ranking the five models with the highest average review count per listing, led by the iPhone 12 Pro 128GB.</w:t>
      </w:r>
    </w:p>
    <w:p>
      <w:pPr>
        <w:pStyle w:val="Heading2"/>
        <w:spacing w:after="160" w:before="280"/>
      </w:pPr>
      <w:r>
        <w:t xml:space="preserve">Rating by Product Category (Bar Chart)</w:t>
      </w:r>
    </w:p>
    <w:p>
      <w:pPr>
        <w:spacing w:after="200"/>
      </w:pPr>
      <w:r>
        <w:t xml:space="preserve">Shows average rating by product category, deliberately placed near the price by category chart so the near identical rating values across very different price points stand out by contrast.</w:t>
      </w:r>
    </w:p>
    <w:p>
      <w:pPr>
        <w:pStyle w:val="Heading2"/>
        <w:spacing w:after="160" w:before="280"/>
      </w:pPr>
      <w:r>
        <w:t xml:space="preserve">Stock Distribution (Donut Chart)</w:t>
      </w:r>
    </w:p>
    <w:p>
      <w:pPr>
        <w:spacing w:after="200"/>
      </w:pPr>
      <w:r>
        <w:t xml:space="preserve">A donut chart showing the share of listings that are In Stock, Out of Stock, or Low Stock across the full dataset.</w:t>
      </w:r>
    </w:p>
    <w:p>
      <w:pPr>
        <w:pStyle w:val="Heading2"/>
        <w:spacing w:after="160" w:before="280"/>
      </w:pPr>
      <w:r>
        <w:t xml:space="preserve">Dashboard Design</w:t>
      </w:r>
    </w:p>
    <w:p>
      <w:pPr>
        <w:spacing w:after="200"/>
      </w:pPr>
      <w:r>
        <w:t xml:space="preserve">The dashboard combines KPI cards summarising headline figures, product category and model slicers connected to the relevant charts, and the six visualisations described above, laid out so a manager can compare category, time, and event performance in a single view.</w:t>
      </w:r>
    </w:p>
    <w:p>
      <w:pPr>
        <w:pStyle w:val="Heading1"/>
        <w:spacing w:after="160" w:before="280"/>
      </w:pPr>
      <w:r>
        <w:t xml:space="preserve">9. Recommendations and Observations</w:t>
      </w:r>
    </w:p>
    <w:p>
      <w:pPr>
        <w:pStyle w:val="ListParagraph"/>
        <w:numPr>
          <w:ilvl w:val="0"/>
          <w:numId w:val="2"/>
        </w:numPr>
        <w:spacing w:after="160"/>
      </w:pPr>
      <w:r>
        <w:rPr>
          <w:b/>
          <w:bCs/>
        </w:rPr>
        <w:t xml:space="preserve">Concentrate promotional investment around Black Friday. </w:t>
      </w:r>
      <w:r>
        <w:t xml:space="preserve">Black Friday generated nearly double the transacted value of the next largest sales event, so promotional budget and inventory planning should weight toward it rather than being spread evenly across all four events.</w:t>
      </w:r>
    </w:p>
    <w:p>
      <w:pPr>
        <w:pStyle w:val="ListParagraph"/>
        <w:numPr>
          <w:ilvl w:val="0"/>
          <w:numId w:val="2"/>
        </w:numPr>
        <w:spacing w:after="160"/>
      </w:pPr>
      <w:r>
        <w:rPr>
          <w:b/>
          <w:bCs/>
        </w:rPr>
        <w:t xml:space="preserve">Do not treat category price as a proxy for perceived quality. </w:t>
      </w:r>
      <w:r>
        <w:t xml:space="preserve">Ratings are nearly identical across Mac, iPhone, iPad, and Watch despite a more than threefold difference in average price between the highest and lowest categories, so pricing and marketing strategy should rely on features and positioning rather than an assumed quality gap.</w:t>
      </w:r>
    </w:p>
    <w:p>
      <w:pPr>
        <w:pStyle w:val="ListParagraph"/>
        <w:numPr>
          <w:ilvl w:val="0"/>
          <w:numId w:val="2"/>
        </w:numPr>
        <w:spacing w:after="160"/>
      </w:pPr>
      <w:r>
        <w:rPr>
          <w:b/>
          <w:bCs/>
        </w:rPr>
        <w:t xml:space="preserve">Tighten stock replenishment timing. </w:t>
      </w:r>
      <w:r>
        <w:t xml:space="preserve">With Low Stock at 14.36 percent, nearly as common as Out of Stock at 16.84 percent, reorder points likely trigger too late to prevent listings from crossing fully into Out of Stock.</w:t>
      </w:r>
    </w:p>
    <w:p>
      <w:pPr>
        <w:pStyle w:val="ListParagraph"/>
        <w:numPr>
          <w:ilvl w:val="0"/>
          <w:numId w:val="2"/>
        </w:numPr>
        <w:spacing w:after="160"/>
      </w:pPr>
      <w:r>
        <w:rPr>
          <w:b/>
          <w:bCs/>
        </w:rPr>
        <w:t xml:space="preserve">Verify review based popularity claims against a tenure adjusted metric. </w:t>
      </w:r>
      <w:r>
        <w:t xml:space="preserve">The most reviewed model overall is also one of the oldest in the dataset, so raw review averages should be checked against how long a model has been tracked before being used as a standalone popularity signal.</w:t>
      </w:r>
    </w:p>
    <w:p>
      <w:pPr>
        <w:spacing w:after="120"/>
      </w:pPr>
    </w:p>
    <w:p>
      <w:pPr>
        <w:spacing w:after="200"/>
      </w:pPr>
      <w:r>
        <w:t xml:space="preserve">An unexpected outcome worth noting was how directly the review count distortion traced back to a modelling choice rather than a data entry error. Summing Reviews Count by model produced a ranking driven almost entirely by tracking duration rather than genuine engagement, underscoring the importance of matching an aggregation method to what a field actually represents before drawing conclusions from it.</w:t>
      </w:r>
    </w:p>
    <w:p>
      <w:pPr>
        <w:pStyle w:val="Heading1"/>
        <w:spacing w:after="160" w:before="280"/>
      </w:pPr>
      <w:r>
        <w:t xml:space="preserve">10. Conclusion</w:t>
      </w:r>
    </w:p>
    <w:p>
      <w:pPr>
        <w:spacing w:after="200"/>
      </w:pPr>
      <w:r>
        <w:t xml:space="preserve">This project set out to convert a raw multi year listing feed into a structured understanding of how Apple's pricing and demand behave across categories, time, and platforms. The analysis confirmed clear price stratification by category, led by Mac, alongside a near uniform level of customer satisfaction regardless of price tier, a strong and specific pull toward Black Friday among the four tracked sales events, and generally healthy but imperfect stock availability.</w:t>
      </w:r>
    </w:p>
    <w:p>
      <w:pPr>
        <w:spacing w:after="200"/>
      </w:pPr>
      <w:r>
        <w:t xml:space="preserve">A key learning from this project was that an aggregation choice, such as summing versus averaging a review count, is not a neutral technical detail. It directly shaped which model appeared as "most reviewed," and catching that distortion before finalising the dashboard was essential to reporting an honest finding rather than an artefact of the calculation method.</w:t>
      </w:r>
    </w:p>
    <w:p>
      <w:pPr>
        <w:spacing w:after="200"/>
      </w:pPr>
      <w:r>
        <w:t xml:space="preserve">The main limitations of this analysis are its partial coverage of 2026 (through July only), a reviews count field that is more reliable as a snapshot than a lifetime popularity measure, and coverage limited to two e commerce platforms rather than Apple's full retail footprint. Future research could extend this analysis by completing a full 2026 calendar year before treating the recent price pullback as confirmed, incorporating additional retail platforms and direct Apple.com pricing, and analysing discount percentage by sales event to see which events offer the deepest actual markdowns rather than simply the highest transacted volume.</w:t>
      </w:r>
    </w:p>
    <w:p>
      <w:pPr>
        <w:pStyle w:val="Heading1"/>
        <w:spacing w:after="160" w:before="280"/>
      </w:pPr>
      <w:r>
        <w:t xml:space="preserve">11. References and Appendices</w:t>
      </w:r>
    </w:p>
    <w:p>
      <w:pPr>
        <w:pStyle w:val="Heading2"/>
        <w:spacing w:after="160" w:before="280"/>
      </w:pPr>
      <w:r>
        <w:t xml:space="preserve">References</w:t>
      </w:r>
    </w:p>
    <w:p>
      <w:pPr>
        <w:spacing w:after="200"/>
      </w:pPr>
      <w:r>
        <w:t xml:space="preserve">Kaggle (2026) Apple Products Pricing Dataset (2020 to 2026). Available at: https://www.kaggle.com. Provided as coursework material for the Vephla University Data Analytics Programme (Accessed 2026).</w:t>
      </w:r>
    </w:p>
    <w:p>
      <w:pPr>
        <w:pStyle w:val="Heading2"/>
        <w:spacing w:after="160" w:before="280"/>
      </w:pPr>
      <w:r>
        <w:t xml:space="preserve">Appendix A: 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2674"/>
        <w:gridCol w:w="3343"/>
      </w:tblGrid>
      <w:tr>
        <w:trPr>
          <w:tblHeader/>
        </w:trPr>
        <w:tc>
          <w:tcPr>
            <w:tcW w:type="dxa" w:w="3343"/>
            <w:shd w:fill="1F4E3D" w:color="auto" w:val="clear"/>
            <w:tcMar>
              <w:top w:type="dxa" w:w="80"/>
              <w:left w:type="dxa" w:w="100"/>
              <w:bottom w:type="dxa" w:w="80"/>
              <w:right w:type="dxa" w:w="100"/>
            </w:tcMar>
          </w:tcPr>
          <w:p>
            <w:r>
              <w:rPr>
                <w:b/>
                <w:bCs/>
                <w:color w:val="FFFFFF"/>
              </w:rPr>
              <w:t xml:space="preserve">Metric</w:t>
            </w:r>
          </w:p>
        </w:tc>
        <w:tc>
          <w:tcPr>
            <w:tcW w:type="dxa" w:w="2674"/>
            <w:shd w:fill="1F4E3D" w:color="auto" w:val="clear"/>
            <w:tcMar>
              <w:top w:type="dxa" w:w="80"/>
              <w:left w:type="dxa" w:w="100"/>
              <w:bottom w:type="dxa" w:w="80"/>
              <w:right w:type="dxa" w:w="100"/>
            </w:tcMar>
          </w:tcPr>
          <w:p>
            <w:r>
              <w:rPr>
                <w:b/>
                <w:bCs/>
                <w:color w:val="FFFFFF"/>
              </w:rPr>
              <w:t xml:space="preserve">Result</w:t>
            </w:r>
          </w:p>
        </w:tc>
        <w:tc>
          <w:tcPr>
            <w:tcW w:type="dxa" w:w="3343"/>
            <w:shd w:fill="1F4E3D" w:color="auto" w:val="clear"/>
            <w:tcMar>
              <w:top w:type="dxa" w:w="80"/>
              <w:left w:type="dxa" w:w="100"/>
              <w:bottom w:type="dxa" w:w="80"/>
              <w:right w:type="dxa" w:w="100"/>
            </w:tcMar>
          </w:tcPr>
          <w:p>
            <w:r>
              <w:rPr>
                <w:b/>
                <w:bCs/>
                <w:color w:val="FFFFFF"/>
              </w:rPr>
              <w:t xml:space="preserve">Share / Note</w:t>
            </w:r>
          </w:p>
        </w:tc>
      </w:tr>
      <w:tr>
        <w:tc>
          <w:tcPr>
            <w:tcW w:type="dxa" w:w="3343"/>
            <w:tcMar>
              <w:top w:type="dxa" w:w="60"/>
              <w:left w:type="dxa" w:w="100"/>
              <w:bottom w:type="dxa" w:w="60"/>
              <w:right w:type="dxa" w:w="100"/>
            </w:tcMar>
          </w:tcPr>
          <w:p>
            <w:r>
              <w:t xml:space="preserve">Records analysed</w:t>
            </w:r>
          </w:p>
        </w:tc>
        <w:tc>
          <w:tcPr>
            <w:tcW w:type="dxa" w:w="2674"/>
            <w:tcMar>
              <w:top w:type="dxa" w:w="60"/>
              <w:left w:type="dxa" w:w="100"/>
              <w:bottom w:type="dxa" w:w="60"/>
              <w:right w:type="dxa" w:w="100"/>
            </w:tcMar>
          </w:tcPr>
          <w:p>
            <w:r>
              <w:t xml:space="preserve">80,000</w:t>
            </w:r>
          </w:p>
        </w:tc>
        <w:tc>
          <w:tcPr>
            <w:tcW w:type="dxa" w:w="3343"/>
            <w:tcMar>
              <w:top w:type="dxa" w:w="60"/>
              <w:left w:type="dxa" w:w="100"/>
              <w:bottom w:type="dxa" w:w="60"/>
              <w:right w:type="dxa" w:w="100"/>
            </w:tcMar>
          </w:tcPr>
          <w:p>
            <w:r>
              <w:t xml:space="preserve">September 2020 to July 2026</w:t>
            </w:r>
          </w:p>
        </w:tc>
      </w:tr>
      <w:tr>
        <w:tc>
          <w:tcPr>
            <w:tcW w:type="dxa" w:w="3343"/>
            <w:tcMar>
              <w:top w:type="dxa" w:w="60"/>
              <w:left w:type="dxa" w:w="100"/>
              <w:bottom w:type="dxa" w:w="60"/>
              <w:right w:type="dxa" w:w="100"/>
            </w:tcMar>
          </w:tcPr>
          <w:p>
            <w:r>
              <w:t xml:space="preserve">Product models tracked</w:t>
            </w:r>
          </w:p>
        </w:tc>
        <w:tc>
          <w:tcPr>
            <w:tcW w:type="dxa" w:w="2674"/>
            <w:tcMar>
              <w:top w:type="dxa" w:w="60"/>
              <w:left w:type="dxa" w:w="100"/>
              <w:bottom w:type="dxa" w:w="60"/>
              <w:right w:type="dxa" w:w="100"/>
            </w:tcMar>
          </w:tcPr>
          <w:p>
            <w:r>
              <w:t xml:space="preserve">31</w:t>
            </w:r>
          </w:p>
        </w:tc>
        <w:tc>
          <w:tcPr>
            <w:tcW w:type="dxa" w:w="3343"/>
            <w:tcMar>
              <w:top w:type="dxa" w:w="60"/>
              <w:left w:type="dxa" w:w="100"/>
              <w:bottom w:type="dxa" w:w="60"/>
              <w:right w:type="dxa" w:w="100"/>
            </w:tcMar>
          </w:tcPr>
          <w:p>
            <w:r>
              <w:t xml:space="preserve">Across 4 categories</w:t>
            </w:r>
          </w:p>
        </w:tc>
      </w:tr>
      <w:tr>
        <w:tc>
          <w:tcPr>
            <w:tcW w:type="dxa" w:w="3343"/>
            <w:tcMar>
              <w:top w:type="dxa" w:w="60"/>
              <w:left w:type="dxa" w:w="100"/>
              <w:bottom w:type="dxa" w:w="60"/>
              <w:right w:type="dxa" w:w="100"/>
            </w:tcMar>
          </w:tcPr>
          <w:p>
            <w:r>
              <w:t xml:space="preserve">Platforms covered</w:t>
            </w:r>
          </w:p>
        </w:tc>
        <w:tc>
          <w:tcPr>
            <w:tcW w:type="dxa" w:w="2674"/>
            <w:tcMar>
              <w:top w:type="dxa" w:w="60"/>
              <w:left w:type="dxa" w:w="100"/>
              <w:bottom w:type="dxa" w:w="60"/>
              <w:right w:type="dxa" w:w="100"/>
            </w:tcMar>
          </w:tcPr>
          <w:p>
            <w:r>
              <w:t xml:space="preserve">Amazon, Flipkart</w:t>
            </w:r>
          </w:p>
        </w:tc>
        <w:tc>
          <w:tcPr>
            <w:tcW w:type="dxa" w:w="3343"/>
            <w:tcMar>
              <w:top w:type="dxa" w:w="60"/>
              <w:left w:type="dxa" w:w="100"/>
              <w:bottom w:type="dxa" w:w="60"/>
              <w:right w:type="dxa" w:w="100"/>
            </w:tcMar>
          </w:tcPr>
          <w:p>
            <w:r>
              <w:t xml:space="preserve">Roughly even split</w:t>
            </w:r>
          </w:p>
        </w:tc>
      </w:tr>
      <w:tr>
        <w:tc>
          <w:tcPr>
            <w:tcW w:type="dxa" w:w="3343"/>
            <w:tcMar>
              <w:top w:type="dxa" w:w="60"/>
              <w:left w:type="dxa" w:w="100"/>
              <w:bottom w:type="dxa" w:w="60"/>
              <w:right w:type="dxa" w:w="100"/>
            </w:tcMar>
          </w:tcPr>
          <w:p>
            <w:r>
              <w:t xml:space="preserve">Overall average rating</w:t>
            </w:r>
          </w:p>
        </w:tc>
        <w:tc>
          <w:tcPr>
            <w:tcW w:type="dxa" w:w="2674"/>
            <w:tcMar>
              <w:top w:type="dxa" w:w="60"/>
              <w:left w:type="dxa" w:w="100"/>
              <w:bottom w:type="dxa" w:w="60"/>
              <w:right w:type="dxa" w:w="100"/>
            </w:tcMar>
          </w:tcPr>
          <w:p>
            <w:r>
              <w:t xml:space="preserve">4.45</w:t>
            </w:r>
          </w:p>
        </w:tc>
        <w:tc>
          <w:tcPr>
            <w:tcW w:type="dxa" w:w="3343"/>
            <w:tcMar>
              <w:top w:type="dxa" w:w="60"/>
              <w:left w:type="dxa" w:w="100"/>
              <w:bottom w:type="dxa" w:w="60"/>
              <w:right w:type="dxa" w:w="100"/>
            </w:tcMar>
          </w:tcPr>
          <w:p>
            <w:r>
              <w:t xml:space="preserve">Across all categories</w:t>
            </w:r>
          </w:p>
        </w:tc>
      </w:tr>
      <w:tr>
        <w:tc>
          <w:tcPr>
            <w:tcW w:type="dxa" w:w="3343"/>
            <w:tcMar>
              <w:top w:type="dxa" w:w="60"/>
              <w:left w:type="dxa" w:w="100"/>
              <w:bottom w:type="dxa" w:w="60"/>
              <w:right w:type="dxa" w:w="100"/>
            </w:tcMar>
          </w:tcPr>
          <w:p>
            <w:r>
              <w:t xml:space="preserve">Highest priced category</w:t>
            </w:r>
          </w:p>
        </w:tc>
        <w:tc>
          <w:tcPr>
            <w:tcW w:type="dxa" w:w="2674"/>
            <w:tcMar>
              <w:top w:type="dxa" w:w="60"/>
              <w:left w:type="dxa" w:w="100"/>
              <w:bottom w:type="dxa" w:w="60"/>
              <w:right w:type="dxa" w:w="100"/>
            </w:tcMar>
          </w:tcPr>
          <w:p>
            <w:r>
              <w:t xml:space="preserve">Mac</w:t>
            </w:r>
          </w:p>
        </w:tc>
        <w:tc>
          <w:tcPr>
            <w:tcW w:type="dxa" w:w="3343"/>
            <w:tcMar>
              <w:top w:type="dxa" w:w="60"/>
              <w:left w:type="dxa" w:w="100"/>
              <w:bottom w:type="dxa" w:w="60"/>
              <w:right w:type="dxa" w:w="100"/>
            </w:tcMar>
          </w:tcPr>
          <w:p>
            <w:r>
              <w:t xml:space="preserve">$1,382.49 average</w:t>
            </w:r>
          </w:p>
        </w:tc>
      </w:tr>
      <w:tr>
        <w:tc>
          <w:tcPr>
            <w:tcW w:type="dxa" w:w="3343"/>
            <w:tcMar>
              <w:top w:type="dxa" w:w="60"/>
              <w:left w:type="dxa" w:w="100"/>
              <w:bottom w:type="dxa" w:w="60"/>
              <w:right w:type="dxa" w:w="100"/>
            </w:tcMar>
          </w:tcPr>
          <w:p>
            <w:r>
              <w:t xml:space="preserve">Peak year for average price</w:t>
            </w:r>
          </w:p>
        </w:tc>
        <w:tc>
          <w:tcPr>
            <w:tcW w:type="dxa" w:w="2674"/>
            <w:tcMar>
              <w:top w:type="dxa" w:w="60"/>
              <w:left w:type="dxa" w:w="100"/>
              <w:bottom w:type="dxa" w:w="60"/>
              <w:right w:type="dxa" w:w="100"/>
            </w:tcMar>
          </w:tcPr>
          <w:p>
            <w:r>
              <w:t xml:space="preserve">2024</w:t>
            </w:r>
          </w:p>
        </w:tc>
        <w:tc>
          <w:tcPr>
            <w:tcW w:type="dxa" w:w="3343"/>
            <w:tcMar>
              <w:top w:type="dxa" w:w="60"/>
              <w:left w:type="dxa" w:w="100"/>
              <w:bottom w:type="dxa" w:w="60"/>
              <w:right w:type="dxa" w:w="100"/>
            </w:tcMar>
          </w:tcPr>
          <w:p>
            <w:r>
              <w:t xml:space="preserve">$801.93</w:t>
            </w:r>
          </w:p>
        </w:tc>
      </w:tr>
      <w:tr>
        <w:tc>
          <w:tcPr>
            <w:tcW w:type="dxa" w:w="3343"/>
            <w:tcMar>
              <w:top w:type="dxa" w:w="60"/>
              <w:left w:type="dxa" w:w="100"/>
              <w:bottom w:type="dxa" w:w="60"/>
              <w:right w:type="dxa" w:w="100"/>
            </w:tcMar>
          </w:tcPr>
          <w:p>
            <w:r>
              <w:t xml:space="preserve">Top sales event by value</w:t>
            </w:r>
          </w:p>
        </w:tc>
        <w:tc>
          <w:tcPr>
            <w:tcW w:type="dxa" w:w="2674"/>
            <w:tcMar>
              <w:top w:type="dxa" w:w="60"/>
              <w:left w:type="dxa" w:w="100"/>
              <w:bottom w:type="dxa" w:w="60"/>
              <w:right w:type="dxa" w:w="100"/>
            </w:tcMar>
          </w:tcPr>
          <w:p>
            <w:r>
              <w:t xml:space="preserve">Black Friday</w:t>
            </w:r>
          </w:p>
        </w:tc>
        <w:tc>
          <w:tcPr>
            <w:tcW w:type="dxa" w:w="3343"/>
            <w:tcMar>
              <w:top w:type="dxa" w:w="60"/>
              <w:left w:type="dxa" w:w="100"/>
              <w:bottom w:type="dxa" w:w="60"/>
              <w:right w:type="dxa" w:w="100"/>
            </w:tcMar>
          </w:tcPr>
          <w:p>
            <w:r>
              <w:t xml:space="preserve">$1,711,159.12</w:t>
            </w:r>
          </w:p>
        </w:tc>
      </w:tr>
      <w:tr>
        <w:tc>
          <w:tcPr>
            <w:tcW w:type="dxa" w:w="3343"/>
            <w:tcMar>
              <w:top w:type="dxa" w:w="60"/>
              <w:left w:type="dxa" w:w="100"/>
              <w:bottom w:type="dxa" w:w="60"/>
              <w:right w:type="dxa" w:w="100"/>
            </w:tcMar>
          </w:tcPr>
          <w:p>
            <w:r>
              <w:t xml:space="preserve">Most reviewed model</w:t>
            </w:r>
          </w:p>
        </w:tc>
        <w:tc>
          <w:tcPr>
            <w:tcW w:type="dxa" w:w="2674"/>
            <w:tcMar>
              <w:top w:type="dxa" w:w="60"/>
              <w:left w:type="dxa" w:w="100"/>
              <w:bottom w:type="dxa" w:w="60"/>
              <w:right w:type="dxa" w:w="100"/>
            </w:tcMar>
          </w:tcPr>
          <w:p>
            <w:r>
              <w:t xml:space="preserve">iPhone 12 Pro 128GB</w:t>
            </w:r>
          </w:p>
        </w:tc>
        <w:tc>
          <w:tcPr>
            <w:tcW w:type="dxa" w:w="3343"/>
            <w:tcMar>
              <w:top w:type="dxa" w:w="60"/>
              <w:left w:type="dxa" w:w="100"/>
              <w:bottom w:type="dxa" w:w="60"/>
              <w:right w:type="dxa" w:w="100"/>
            </w:tcMar>
          </w:tcPr>
          <w:p>
            <w:r>
              <w:t xml:space="preserve">3,723 average reviews per listing</w:t>
            </w:r>
          </w:p>
        </w:tc>
      </w:tr>
      <w:tr>
        <w:tc>
          <w:tcPr>
            <w:tcW w:type="dxa" w:w="3343"/>
            <w:tcMar>
              <w:top w:type="dxa" w:w="60"/>
              <w:left w:type="dxa" w:w="100"/>
              <w:bottom w:type="dxa" w:w="60"/>
              <w:right w:type="dxa" w:w="100"/>
            </w:tcMar>
          </w:tcPr>
          <w:p>
            <w:r>
              <w:t xml:space="preserve">Most expensive model</w:t>
            </w:r>
          </w:p>
        </w:tc>
        <w:tc>
          <w:tcPr>
            <w:tcW w:type="dxa" w:w="2674"/>
            <w:tcMar>
              <w:top w:type="dxa" w:w="60"/>
              <w:left w:type="dxa" w:w="100"/>
              <w:bottom w:type="dxa" w:w="60"/>
              <w:right w:type="dxa" w:w="100"/>
            </w:tcMar>
          </w:tcPr>
          <w:p>
            <w:r>
              <w:t xml:space="preserve">MacBook Pro 14 inch M4 Pro 512GB</w:t>
            </w:r>
          </w:p>
        </w:tc>
        <w:tc>
          <w:tcPr>
            <w:tcW w:type="dxa" w:w="3343"/>
            <w:tcMar>
              <w:top w:type="dxa" w:w="60"/>
              <w:left w:type="dxa" w:w="100"/>
              <w:bottom w:type="dxa" w:w="60"/>
              <w:right w:type="dxa" w:w="100"/>
            </w:tcMar>
          </w:tcPr>
          <w:p>
            <w:r>
              <w:t xml:space="preserve">$1,826.99 average</w:t>
            </w:r>
          </w:p>
        </w:tc>
      </w:tr>
      <w:tr>
        <w:tc>
          <w:tcPr>
            <w:tcW w:type="dxa" w:w="3343"/>
            <w:tcMar>
              <w:top w:type="dxa" w:w="60"/>
              <w:left w:type="dxa" w:w="100"/>
              <w:bottom w:type="dxa" w:w="60"/>
              <w:right w:type="dxa" w:w="100"/>
            </w:tcMar>
          </w:tcPr>
          <w:p>
            <w:r>
              <w:t xml:space="preserve">Stock availability</w:t>
            </w:r>
          </w:p>
        </w:tc>
        <w:tc>
          <w:tcPr>
            <w:tcW w:type="dxa" w:w="2674"/>
            <w:tcMar>
              <w:top w:type="dxa" w:w="60"/>
              <w:left w:type="dxa" w:w="100"/>
              <w:bottom w:type="dxa" w:w="60"/>
              <w:right w:type="dxa" w:w="100"/>
            </w:tcMar>
          </w:tcPr>
          <w:p>
            <w:r>
              <w:t xml:space="preserve">In Stock</w:t>
            </w:r>
          </w:p>
        </w:tc>
        <w:tc>
          <w:tcPr>
            <w:tcW w:type="dxa" w:w="3343"/>
            <w:tcMar>
              <w:top w:type="dxa" w:w="60"/>
              <w:left w:type="dxa" w:w="100"/>
              <w:bottom w:type="dxa" w:w="60"/>
              <w:right w:type="dxa" w:w="100"/>
            </w:tcMar>
          </w:tcPr>
          <w:p>
            <w:r>
              <w:t xml:space="preserve">68.79% of listings</w:t>
            </w:r>
          </w:p>
        </w:tc>
      </w:tr>
    </w:tbl>
    <w:p>
      <w:pPr>
        <w:spacing w:after="120"/>
      </w:pPr>
    </w:p>
    <w:p>
      <w:pPr>
        <w:pStyle w:val="Heading2"/>
        <w:spacing w:after="160" w:before="280"/>
      </w:pPr>
      <w:r>
        <w:t xml:space="preserve">Appendix B: Average Price and Rating by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3D" w:color="auto" w:val="clear"/>
            <w:tcMar>
              <w:top w:type="dxa" w:w="80"/>
              <w:left w:type="dxa" w:w="100"/>
              <w:bottom w:type="dxa" w:w="80"/>
              <w:right w:type="dxa" w:w="100"/>
            </w:tcMar>
          </w:tcPr>
          <w:p>
            <w:r>
              <w:rPr>
                <w:b/>
                <w:bCs/>
                <w:color w:val="FFFFFF"/>
              </w:rPr>
              <w:t xml:space="preserve">Category</w:t>
            </w:r>
          </w:p>
        </w:tc>
        <w:tc>
          <w:tcPr>
            <w:tcW w:type="dxa" w:w="3120"/>
            <w:shd w:fill="1F4E3D" w:color="auto" w:val="clear"/>
            <w:tcMar>
              <w:top w:type="dxa" w:w="80"/>
              <w:left w:type="dxa" w:w="100"/>
              <w:bottom w:type="dxa" w:w="80"/>
              <w:right w:type="dxa" w:w="100"/>
            </w:tcMar>
          </w:tcPr>
          <w:p>
            <w:r>
              <w:rPr>
                <w:b/>
                <w:bCs/>
                <w:color w:val="FFFFFF"/>
              </w:rPr>
              <w:t xml:space="preserve">Average Price</w:t>
            </w:r>
          </w:p>
        </w:tc>
        <w:tc>
          <w:tcPr>
            <w:tcW w:type="dxa" w:w="3120"/>
            <w:shd w:fill="1F4E3D" w:color="auto" w:val="clear"/>
            <w:tcMar>
              <w:top w:type="dxa" w:w="80"/>
              <w:left w:type="dxa" w:w="100"/>
              <w:bottom w:type="dxa" w:w="80"/>
              <w:right w:type="dxa" w:w="100"/>
            </w:tcMar>
          </w:tcPr>
          <w:p>
            <w:r>
              <w:rPr>
                <w:b/>
                <w:bCs/>
                <w:color w:val="FFFFFF"/>
              </w:rPr>
              <w:t xml:space="preserve">Average Rating</w:t>
            </w:r>
          </w:p>
        </w:tc>
      </w:tr>
      <w:tr>
        <w:tc>
          <w:tcPr>
            <w:tcW w:type="dxa" w:w="3120"/>
            <w:tcMar>
              <w:top w:type="dxa" w:w="60"/>
              <w:left w:type="dxa" w:w="100"/>
              <w:bottom w:type="dxa" w:w="60"/>
              <w:right w:type="dxa" w:w="100"/>
            </w:tcMar>
          </w:tcPr>
          <w:p>
            <w:r>
              <w:t xml:space="preserve">Mac</w:t>
            </w:r>
          </w:p>
        </w:tc>
        <w:tc>
          <w:tcPr>
            <w:tcW w:type="dxa" w:w="3120"/>
            <w:tcMar>
              <w:top w:type="dxa" w:w="60"/>
              <w:left w:type="dxa" w:w="100"/>
              <w:bottom w:type="dxa" w:w="60"/>
              <w:right w:type="dxa" w:w="100"/>
            </w:tcMar>
          </w:tcPr>
          <w:p>
            <w:r>
              <w:t xml:space="preserve">$1,382.49</w:t>
            </w:r>
          </w:p>
        </w:tc>
        <w:tc>
          <w:tcPr>
            <w:tcW w:type="dxa" w:w="3120"/>
            <w:tcMar>
              <w:top w:type="dxa" w:w="60"/>
              <w:left w:type="dxa" w:w="100"/>
              <w:bottom w:type="dxa" w:w="60"/>
              <w:right w:type="dxa" w:w="100"/>
            </w:tcMar>
          </w:tcPr>
          <w:p>
            <w:r>
              <w:t xml:space="preserve">4.450</w:t>
            </w:r>
          </w:p>
        </w:tc>
      </w:tr>
      <w:tr>
        <w:tc>
          <w:tcPr>
            <w:tcW w:type="dxa" w:w="3120"/>
            <w:tcMar>
              <w:top w:type="dxa" w:w="60"/>
              <w:left w:type="dxa" w:w="100"/>
              <w:bottom w:type="dxa" w:w="60"/>
              <w:right w:type="dxa" w:w="100"/>
            </w:tcMar>
          </w:tcPr>
          <w:p>
            <w:r>
              <w:t xml:space="preserve">iPhone</w:t>
            </w:r>
          </w:p>
        </w:tc>
        <w:tc>
          <w:tcPr>
            <w:tcW w:type="dxa" w:w="3120"/>
            <w:tcMar>
              <w:top w:type="dxa" w:w="60"/>
              <w:left w:type="dxa" w:w="100"/>
              <w:bottom w:type="dxa" w:w="60"/>
              <w:right w:type="dxa" w:w="100"/>
            </w:tcMar>
          </w:tcPr>
          <w:p>
            <w:r>
              <w:t xml:space="preserve">$758.67</w:t>
            </w:r>
          </w:p>
        </w:tc>
        <w:tc>
          <w:tcPr>
            <w:tcW w:type="dxa" w:w="3120"/>
            <w:tcMar>
              <w:top w:type="dxa" w:w="60"/>
              <w:left w:type="dxa" w:w="100"/>
              <w:bottom w:type="dxa" w:w="60"/>
              <w:right w:type="dxa" w:w="100"/>
            </w:tcMar>
          </w:tcPr>
          <w:p>
            <w:r>
              <w:t xml:space="preserve">4.451</w:t>
            </w:r>
          </w:p>
        </w:tc>
      </w:tr>
      <w:tr>
        <w:tc>
          <w:tcPr>
            <w:tcW w:type="dxa" w:w="3120"/>
            <w:tcMar>
              <w:top w:type="dxa" w:w="60"/>
              <w:left w:type="dxa" w:w="100"/>
              <w:bottom w:type="dxa" w:w="60"/>
              <w:right w:type="dxa" w:w="100"/>
            </w:tcMar>
          </w:tcPr>
          <w:p>
            <w:r>
              <w:t xml:space="preserve">iPad</w:t>
            </w:r>
          </w:p>
        </w:tc>
        <w:tc>
          <w:tcPr>
            <w:tcW w:type="dxa" w:w="3120"/>
            <w:tcMar>
              <w:top w:type="dxa" w:w="60"/>
              <w:left w:type="dxa" w:w="100"/>
              <w:bottom w:type="dxa" w:w="60"/>
              <w:right w:type="dxa" w:w="100"/>
            </w:tcMar>
          </w:tcPr>
          <w:p>
            <w:r>
              <w:t xml:space="preserve">$573.08</w:t>
            </w:r>
          </w:p>
        </w:tc>
        <w:tc>
          <w:tcPr>
            <w:tcW w:type="dxa" w:w="3120"/>
            <w:tcMar>
              <w:top w:type="dxa" w:w="60"/>
              <w:left w:type="dxa" w:w="100"/>
              <w:bottom w:type="dxa" w:w="60"/>
              <w:right w:type="dxa" w:w="100"/>
            </w:tcMar>
          </w:tcPr>
          <w:p>
            <w:r>
              <w:t xml:space="preserve">4.450</w:t>
            </w:r>
          </w:p>
        </w:tc>
      </w:tr>
      <w:tr>
        <w:tc>
          <w:tcPr>
            <w:tcW w:type="dxa" w:w="3120"/>
            <w:tcMar>
              <w:top w:type="dxa" w:w="60"/>
              <w:left w:type="dxa" w:w="100"/>
              <w:bottom w:type="dxa" w:w="60"/>
              <w:right w:type="dxa" w:w="100"/>
            </w:tcMar>
          </w:tcPr>
          <w:p>
            <w:r>
              <w:t xml:space="preserve">Watch</w:t>
            </w:r>
          </w:p>
        </w:tc>
        <w:tc>
          <w:tcPr>
            <w:tcW w:type="dxa" w:w="3120"/>
            <w:tcMar>
              <w:top w:type="dxa" w:w="60"/>
              <w:left w:type="dxa" w:w="100"/>
              <w:bottom w:type="dxa" w:w="60"/>
              <w:right w:type="dxa" w:w="100"/>
            </w:tcMar>
          </w:tcPr>
          <w:p>
            <w:r>
              <w:t xml:space="preserve">$398.64</w:t>
            </w:r>
          </w:p>
        </w:tc>
        <w:tc>
          <w:tcPr>
            <w:tcW w:type="dxa" w:w="3120"/>
            <w:tcMar>
              <w:top w:type="dxa" w:w="60"/>
              <w:left w:type="dxa" w:w="100"/>
              <w:bottom w:type="dxa" w:w="60"/>
              <w:right w:type="dxa" w:w="100"/>
            </w:tcMar>
          </w:tcPr>
          <w:p>
            <w:r>
              <w:t xml:space="preserve">4.448</w:t>
            </w:r>
          </w:p>
        </w:tc>
      </w:tr>
    </w:tbl>
    <w:p>
      <w:pPr>
        <w:spacing w:after="120"/>
      </w:pPr>
    </w:p>
    <w:p>
      <w:pPr>
        <w:pStyle w:val="Heading2"/>
        <w:spacing w:after="160" w:before="280"/>
      </w:pPr>
      <w:r>
        <w:t xml:space="preserve">Appendix C: Top 10 Most Expensive Apple Models by Average Current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1F4E3D" w:color="auto" w:val="clear"/>
            <w:tcMar>
              <w:top w:type="dxa" w:w="80"/>
              <w:left w:type="dxa" w:w="100"/>
              <w:bottom w:type="dxa" w:w="80"/>
              <w:right w:type="dxa" w:w="100"/>
            </w:tcMar>
          </w:tcPr>
          <w:p>
            <w:r>
              <w:rPr>
                <w:b/>
                <w:bCs/>
                <w:color w:val="FFFFFF"/>
              </w:rPr>
              <w:t xml:space="preserve">Model</w:t>
            </w:r>
          </w:p>
        </w:tc>
        <w:tc>
          <w:tcPr>
            <w:tcW w:type="dxa" w:w="3744"/>
            <w:shd w:fill="1F4E3D" w:color="auto" w:val="clear"/>
            <w:tcMar>
              <w:top w:type="dxa" w:w="80"/>
              <w:left w:type="dxa" w:w="100"/>
              <w:bottom w:type="dxa" w:w="80"/>
              <w:right w:type="dxa" w:w="100"/>
            </w:tcMar>
          </w:tcPr>
          <w:p>
            <w:r>
              <w:rPr>
                <w:b/>
                <w:bCs/>
                <w:color w:val="FFFFFF"/>
              </w:rPr>
              <w:t xml:space="preserve">Average Price</w:t>
            </w:r>
          </w:p>
        </w:tc>
      </w:tr>
      <w:tr>
        <w:tc>
          <w:tcPr>
            <w:tcW w:type="dxa" w:w="5616"/>
            <w:tcMar>
              <w:top w:type="dxa" w:w="60"/>
              <w:left w:type="dxa" w:w="100"/>
              <w:bottom w:type="dxa" w:w="60"/>
              <w:right w:type="dxa" w:w="100"/>
            </w:tcMar>
          </w:tcPr>
          <w:p>
            <w:r>
              <w:t xml:space="preserve">MacBook Pro 14 inch M4 Pro 512GB</w:t>
            </w:r>
          </w:p>
        </w:tc>
        <w:tc>
          <w:tcPr>
            <w:tcW w:type="dxa" w:w="3744"/>
            <w:tcMar>
              <w:top w:type="dxa" w:w="60"/>
              <w:left w:type="dxa" w:w="100"/>
              <w:bottom w:type="dxa" w:w="60"/>
              <w:right w:type="dxa" w:w="100"/>
            </w:tcMar>
          </w:tcPr>
          <w:p>
            <w:r>
              <w:t xml:space="preserve">$1,826.99</w:t>
            </w:r>
          </w:p>
        </w:tc>
      </w:tr>
      <w:tr>
        <w:tc>
          <w:tcPr>
            <w:tcW w:type="dxa" w:w="5616"/>
            <w:tcMar>
              <w:top w:type="dxa" w:w="60"/>
              <w:left w:type="dxa" w:w="100"/>
              <w:bottom w:type="dxa" w:w="60"/>
              <w:right w:type="dxa" w:w="100"/>
            </w:tcMar>
          </w:tcPr>
          <w:p>
            <w:r>
              <w:t xml:space="preserve">MacBook Pro 14 inch M3 Pro 512GB</w:t>
            </w:r>
          </w:p>
        </w:tc>
        <w:tc>
          <w:tcPr>
            <w:tcW w:type="dxa" w:w="3744"/>
            <w:tcMar>
              <w:top w:type="dxa" w:w="60"/>
              <w:left w:type="dxa" w:w="100"/>
              <w:bottom w:type="dxa" w:w="60"/>
              <w:right w:type="dxa" w:w="100"/>
            </w:tcMar>
          </w:tcPr>
          <w:p>
            <w:r>
              <w:t xml:space="preserve">$1,775.95</w:t>
            </w:r>
          </w:p>
        </w:tc>
      </w:tr>
      <w:tr>
        <w:tc>
          <w:tcPr>
            <w:tcW w:type="dxa" w:w="5616"/>
            <w:tcMar>
              <w:top w:type="dxa" w:w="60"/>
              <w:left w:type="dxa" w:w="100"/>
              <w:bottom w:type="dxa" w:w="60"/>
              <w:right w:type="dxa" w:w="100"/>
            </w:tcMar>
          </w:tcPr>
          <w:p>
            <w:r>
              <w:t xml:space="preserve">MacBook Pro 14 inch M2 Pro 512GB</w:t>
            </w:r>
          </w:p>
        </w:tc>
        <w:tc>
          <w:tcPr>
            <w:tcW w:type="dxa" w:w="3744"/>
            <w:tcMar>
              <w:top w:type="dxa" w:w="60"/>
              <w:left w:type="dxa" w:w="100"/>
              <w:bottom w:type="dxa" w:w="60"/>
              <w:right w:type="dxa" w:w="100"/>
            </w:tcMar>
          </w:tcPr>
          <w:p>
            <w:r>
              <w:t xml:space="preserve">$1,746.50</w:t>
            </w:r>
          </w:p>
        </w:tc>
      </w:tr>
      <w:tr>
        <w:tc>
          <w:tcPr>
            <w:tcW w:type="dxa" w:w="5616"/>
            <w:tcMar>
              <w:top w:type="dxa" w:w="60"/>
              <w:left w:type="dxa" w:w="100"/>
              <w:bottom w:type="dxa" w:w="60"/>
              <w:right w:type="dxa" w:w="100"/>
            </w:tcMar>
          </w:tcPr>
          <w:p>
            <w:r>
              <w:t xml:space="preserve">MacBook Pro 14 inch M1 Pro 512GB</w:t>
            </w:r>
          </w:p>
        </w:tc>
        <w:tc>
          <w:tcPr>
            <w:tcW w:type="dxa" w:w="3744"/>
            <w:tcMar>
              <w:top w:type="dxa" w:w="60"/>
              <w:left w:type="dxa" w:w="100"/>
              <w:bottom w:type="dxa" w:w="60"/>
              <w:right w:type="dxa" w:w="100"/>
            </w:tcMar>
          </w:tcPr>
          <w:p>
            <w:r>
              <w:t xml:space="preserve">$1,686.46</w:t>
            </w:r>
          </w:p>
        </w:tc>
      </w:tr>
      <w:tr>
        <w:tc>
          <w:tcPr>
            <w:tcW w:type="dxa" w:w="5616"/>
            <w:tcMar>
              <w:top w:type="dxa" w:w="60"/>
              <w:left w:type="dxa" w:w="100"/>
              <w:bottom w:type="dxa" w:w="60"/>
              <w:right w:type="dxa" w:w="100"/>
            </w:tcMar>
          </w:tcPr>
          <w:p>
            <w:r>
              <w:t xml:space="preserve">iPhone 15 Pro Max 256GB</w:t>
            </w:r>
          </w:p>
        </w:tc>
        <w:tc>
          <w:tcPr>
            <w:tcW w:type="dxa" w:w="3744"/>
            <w:tcMar>
              <w:top w:type="dxa" w:w="60"/>
              <w:left w:type="dxa" w:w="100"/>
              <w:bottom w:type="dxa" w:w="60"/>
              <w:right w:type="dxa" w:w="100"/>
            </w:tcMar>
          </w:tcPr>
          <w:p>
            <w:r>
              <w:t xml:space="preserve">$1,025.50</w:t>
            </w:r>
          </w:p>
        </w:tc>
      </w:tr>
      <w:tr>
        <w:tc>
          <w:tcPr>
            <w:tcW w:type="dxa" w:w="5616"/>
            <w:tcMar>
              <w:top w:type="dxa" w:w="60"/>
              <w:left w:type="dxa" w:w="100"/>
              <w:bottom w:type="dxa" w:w="60"/>
              <w:right w:type="dxa" w:w="100"/>
            </w:tcMar>
          </w:tcPr>
          <w:p>
            <w:r>
              <w:t xml:space="preserve">iPad Pro 12.9 inch (M2) 256GB</w:t>
            </w:r>
          </w:p>
        </w:tc>
        <w:tc>
          <w:tcPr>
            <w:tcW w:type="dxa" w:w="3744"/>
            <w:tcMar>
              <w:top w:type="dxa" w:w="60"/>
              <w:left w:type="dxa" w:w="100"/>
              <w:bottom w:type="dxa" w:w="60"/>
              <w:right w:type="dxa" w:w="100"/>
            </w:tcMar>
          </w:tcPr>
          <w:p>
            <w:r>
              <w:t xml:space="preserve">$986.11</w:t>
            </w:r>
          </w:p>
        </w:tc>
      </w:tr>
      <w:tr>
        <w:tc>
          <w:tcPr>
            <w:tcW w:type="dxa" w:w="5616"/>
            <w:tcMar>
              <w:top w:type="dxa" w:w="60"/>
              <w:left w:type="dxa" w:w="100"/>
              <w:bottom w:type="dxa" w:w="60"/>
              <w:right w:type="dxa" w:w="100"/>
            </w:tcMar>
          </w:tcPr>
          <w:p>
            <w:r>
              <w:t xml:space="preserve">iPhone 16 Pro 256GB</w:t>
            </w:r>
          </w:p>
        </w:tc>
        <w:tc>
          <w:tcPr>
            <w:tcW w:type="dxa" w:w="3744"/>
            <w:tcMar>
              <w:top w:type="dxa" w:w="60"/>
              <w:left w:type="dxa" w:w="100"/>
              <w:bottom w:type="dxa" w:w="60"/>
              <w:right w:type="dxa" w:w="100"/>
            </w:tcMar>
          </w:tcPr>
          <w:p>
            <w:r>
              <w:t xml:space="preserve">$977.04</w:t>
            </w:r>
          </w:p>
        </w:tc>
      </w:tr>
      <w:tr>
        <w:tc>
          <w:tcPr>
            <w:tcW w:type="dxa" w:w="5616"/>
            <w:tcMar>
              <w:top w:type="dxa" w:w="60"/>
              <w:left w:type="dxa" w:w="100"/>
              <w:bottom w:type="dxa" w:w="60"/>
              <w:right w:type="dxa" w:w="100"/>
            </w:tcMar>
          </w:tcPr>
          <w:p>
            <w:r>
              <w:t xml:space="preserve">MacBook Air M2 256GB</w:t>
            </w:r>
          </w:p>
        </w:tc>
        <w:tc>
          <w:tcPr>
            <w:tcW w:type="dxa" w:w="3744"/>
            <w:tcMar>
              <w:top w:type="dxa" w:w="60"/>
              <w:left w:type="dxa" w:w="100"/>
              <w:bottom w:type="dxa" w:w="60"/>
              <w:right w:type="dxa" w:w="100"/>
            </w:tcMar>
          </w:tcPr>
          <w:p>
            <w:r>
              <w:t xml:space="preserve">$971.62</w:t>
            </w:r>
          </w:p>
        </w:tc>
      </w:tr>
      <w:tr>
        <w:tc>
          <w:tcPr>
            <w:tcW w:type="dxa" w:w="5616"/>
            <w:tcMar>
              <w:top w:type="dxa" w:w="60"/>
              <w:left w:type="dxa" w:w="100"/>
              <w:bottom w:type="dxa" w:w="60"/>
              <w:right w:type="dxa" w:w="100"/>
            </w:tcMar>
          </w:tcPr>
          <w:p>
            <w:r>
              <w:t xml:space="preserve">MacBook Air M3 256GB</w:t>
            </w:r>
          </w:p>
        </w:tc>
        <w:tc>
          <w:tcPr>
            <w:tcW w:type="dxa" w:w="3744"/>
            <w:tcMar>
              <w:top w:type="dxa" w:w="60"/>
              <w:left w:type="dxa" w:w="100"/>
              <w:bottom w:type="dxa" w:w="60"/>
              <w:right w:type="dxa" w:w="100"/>
            </w:tcMar>
          </w:tcPr>
          <w:p>
            <w:r>
              <w:t xml:space="preserve">$954.90</w:t>
            </w:r>
          </w:p>
        </w:tc>
      </w:tr>
      <w:tr>
        <w:tc>
          <w:tcPr>
            <w:tcW w:type="dxa" w:w="5616"/>
            <w:tcMar>
              <w:top w:type="dxa" w:w="60"/>
              <w:left w:type="dxa" w:w="100"/>
              <w:bottom w:type="dxa" w:w="60"/>
              <w:right w:type="dxa" w:w="100"/>
            </w:tcMar>
          </w:tcPr>
          <w:p>
            <w:r>
              <w:t xml:space="preserve">iPhone 13 Pro Max 256GB</w:t>
            </w:r>
          </w:p>
        </w:tc>
        <w:tc>
          <w:tcPr>
            <w:tcW w:type="dxa" w:w="3744"/>
            <w:tcMar>
              <w:top w:type="dxa" w:w="60"/>
              <w:left w:type="dxa" w:w="100"/>
              <w:bottom w:type="dxa" w:w="60"/>
              <w:right w:type="dxa" w:w="100"/>
            </w:tcMar>
          </w:tcPr>
          <w:p>
            <w:r>
              <w:t xml:space="preserve">$936.62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2026-08-30T06:15:31.162Z</dcterms:created>
  <dcterms:modified xsi:type="dcterms:W3CDTF">2026-08-30T06:15:31.175Z</dcterms:modified>
</cp:coreProperties>
</file>

<file path=docProps/custom.xml><?xml version="1.0" encoding="utf-8"?>
<Properties xmlns="http://schemas.openxmlformats.org/officeDocument/2006/custom-properties" xmlns:vt="http://schemas.openxmlformats.org/officeDocument/2006/docPropsVTypes"/>
</file>