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pPr>
      <w:r>
        <w:rPr>
          <w:rFonts w:ascii="Arial" w:cs="Arial" w:eastAsia="Arial" w:hAnsi="Arial"/>
          <w:b/>
          <w:bCs/>
          <w:color w:val="1F4E79"/>
          <w:sz w:val="56"/>
          <w:szCs w:val="56"/>
        </w:rPr>
        <w:t xml:space="preserve">TAX DOCUMENT ROUTING</w:t>
      </w:r>
    </w:p>
    <w:p>
      <w:pPr>
        <w:spacing w:after="240"/>
      </w:pPr>
      <w:r>
        <w:rPr>
          <w:rFonts w:ascii="Arial" w:cs="Arial" w:eastAsia="Arial" w:hAnsi="Arial"/>
          <w:color w:val="2E75B6"/>
          <w:sz w:val="36"/>
          <w:szCs w:val="36"/>
        </w:rPr>
        <w:t xml:space="preserve">Platform-Agnostic Product Specification</w:t>
      </w:r>
    </w:p>
    <w:p>
      <w:pPr>
        <w:pBdr>
          <w:bottom w:val="single" w:color="2E75B6" w:sz="6" w:space="1"/>
        </w:pBdr>
        <w:spacing w:after="120" w:before="120"/>
      </w:pPr>
    </w:p>
    <w:p>
      <w:pPr>
        <w:spacing w:after="120"/>
      </w:pPr>
      <w:r>
        <w:rPr>
          <w:rFonts w:ascii="Arial" w:cs="Arial" w:eastAsia="Arial" w:hAnsi="Arial"/>
          <w:sz w:val="24"/>
          <w:szCs w:val="24"/>
        </w:rPr>
        <w:t xml:space="preserve">Version: 1.0</w:t>
      </w:r>
    </w:p>
    <w:p>
      <w:pPr>
        <w:spacing w:after="120"/>
      </w:pPr>
      <w:r>
        <w:rPr>
          <w:rFonts w:ascii="Arial" w:cs="Arial" w:eastAsia="Arial" w:hAnsi="Arial"/>
          <w:sz w:val="24"/>
          <w:szCs w:val="24"/>
        </w:rPr>
        <w:t xml:space="preserve">Date: May 2026</w:t>
      </w:r>
    </w:p>
    <w:p>
      <w:pPr>
        <w:spacing w:after="120"/>
      </w:pPr>
      <w:r>
        <w:rPr>
          <w:rFonts w:ascii="Arial" w:cs="Arial" w:eastAsia="Arial" w:hAnsi="Arial"/>
          <w:sz w:val="24"/>
          <w:szCs w:val="24"/>
        </w:rPr>
        <w:t xml:space="preserve">Status: Final</w:t>
      </w:r>
    </w:p>
    <w:p>
      <w:r>
        <w:br w:type="page"/>
      </w:r>
    </w:p>
    <w:p>
      <w:pPr>
        <w:pStyle w:val="Heading1"/>
        <w:spacing w:after="160" w:before="360"/>
      </w:pPr>
      <w:r>
        <w:rPr>
          <w:rFonts w:ascii="Arial" w:cs="Arial" w:eastAsia="Arial" w:hAnsi="Arial"/>
          <w:b/>
          <w:bCs/>
          <w:color w:val="1F4E79"/>
          <w:sz w:val="32"/>
          <w:szCs w:val="32"/>
        </w:rPr>
        <w:t xml:space="preserve">1. Product Overview</w:t>
      </w:r>
    </w:p>
    <w:p>
      <w:pPr>
        <w:pStyle w:val="Heading2"/>
        <w:spacing w:after="120" w:before="240"/>
      </w:pPr>
      <w:r>
        <w:rPr>
          <w:rFonts w:ascii="Arial" w:cs="Arial" w:eastAsia="Arial" w:hAnsi="Arial"/>
          <w:b/>
          <w:bCs/>
          <w:color w:val="1F4E79"/>
          <w:sz w:val="26"/>
          <w:szCs w:val="26"/>
        </w:rPr>
        <w:t xml:space="preserve">1.1 Business Problem</w:t>
      </w:r>
    </w:p>
    <w:p>
      <w:pPr>
        <w:spacing w:after="120" w:before="0"/>
      </w:pPr>
      <w:r>
        <w:rPr>
          <w:rFonts w:ascii="Arial" w:cs="Arial" w:eastAsia="Arial" w:hAnsi="Arial"/>
          <w:b w:val="false"/>
          <w:bCs w:val="false"/>
          <w:color w:val="000000"/>
          <w:sz w:val="22"/>
          <w:szCs w:val="22"/>
        </w:rPr>
        <w:t xml:space="preserve">The Tax department of a physician-management organisation manages tax documents on behalf of owner doctors — physicians who are also business owners. Each doctor may have personal tax obligations as well as obligations through one or more entities (partnerships, corporations, personal corporations). Tax documents arrive in batch or individually and must be collected, reviewed, and filed into the correct cloud storage folders for each client or entity.</w:t>
      </w:r>
    </w:p>
    <w:p>
      <w:pPr>
        <w:spacing w:after="120" w:before="0"/>
      </w:pPr>
      <w:r>
        <w:rPr>
          <w:rFonts w:ascii="Arial" w:cs="Arial" w:eastAsia="Arial" w:hAnsi="Arial"/>
          <w:b w:val="false"/>
          <w:bCs w:val="false"/>
          <w:color w:val="000000"/>
          <w:sz w:val="22"/>
          <w:szCs w:val="22"/>
        </w:rPr>
        <w:t xml:space="preserve">Without a structured routing tool, documents could be misfiled, lost, or placed in the wrong client folder — creating compliance and audit risk.</w:t>
      </w:r>
    </w:p>
    <w:p>
      <w:pPr>
        <w:pStyle w:val="Heading2"/>
        <w:spacing w:after="120" w:before="240"/>
      </w:pPr>
      <w:r>
        <w:rPr>
          <w:rFonts w:ascii="Arial" w:cs="Arial" w:eastAsia="Arial" w:hAnsi="Arial"/>
          <w:b/>
          <w:bCs/>
          <w:color w:val="1F4E79"/>
          <w:sz w:val="26"/>
          <w:szCs w:val="26"/>
        </w:rPr>
        <w:t xml:space="preserve">1.2 What the Application Does</w:t>
      </w:r>
    </w:p>
    <w:p>
      <w:pPr>
        <w:spacing w:after="120" w:before="0"/>
      </w:pPr>
      <w:r>
        <w:rPr>
          <w:rFonts w:ascii="Arial" w:cs="Arial" w:eastAsia="Arial" w:hAnsi="Arial"/>
          <w:b w:val="false"/>
          <w:bCs w:val="false"/>
          <w:color w:val="000000"/>
          <w:sz w:val="22"/>
          <w:szCs w:val="22"/>
        </w:rPr>
        <w:t xml:space="preserve">The Tax Document Routing application provides a structured digital workflow for tax department staff to:</w:t>
      </w:r>
    </w:p>
    <w:p>
      <w:pPr>
        <w:pStyle w:val="ListParagraph"/>
        <w:numPr>
          <w:ilvl w:val="0"/>
          <w:numId w:val="2"/>
        </w:numPr>
        <w:spacing w:after="80"/>
      </w:pPr>
      <w:r>
        <w:rPr>
          <w:rFonts w:ascii="Arial" w:cs="Arial" w:eastAsia="Arial" w:hAnsi="Arial"/>
          <w:sz w:val="22"/>
          <w:szCs w:val="22"/>
        </w:rPr>
        <w:t xml:space="preserve">Look up an owner-doctor client from a reference database</w:t>
      </w:r>
    </w:p>
    <w:p>
      <w:pPr>
        <w:pStyle w:val="ListParagraph"/>
        <w:numPr>
          <w:ilvl w:val="0"/>
          <w:numId w:val="2"/>
        </w:numPr>
        <w:spacing w:after="80"/>
      </w:pPr>
      <w:r>
        <w:rPr>
          <w:rFonts w:ascii="Arial" w:cs="Arial" w:eastAsia="Arial" w:hAnsi="Arial"/>
          <w:sz w:val="22"/>
          <w:szCs w:val="22"/>
        </w:rPr>
        <w:t xml:space="preserve">Specify what document(s) are being submitted, for which year, and for which entity (if applicable)</w:t>
      </w:r>
    </w:p>
    <w:p>
      <w:pPr>
        <w:pStyle w:val="ListParagraph"/>
        <w:numPr>
          <w:ilvl w:val="0"/>
          <w:numId w:val="2"/>
        </w:numPr>
        <w:spacing w:after="80"/>
      </w:pPr>
      <w:r>
        <w:rPr>
          <w:rFonts w:ascii="Arial" w:cs="Arial" w:eastAsia="Arial" w:hAnsi="Arial"/>
          <w:sz w:val="22"/>
          <w:szCs w:val="22"/>
        </w:rPr>
        <w:t xml:space="preserve">Automatically create a temporary staging folder in Box (cloud file storage)</w:t>
      </w:r>
    </w:p>
    <w:p>
      <w:pPr>
        <w:pStyle w:val="ListParagraph"/>
        <w:numPr>
          <w:ilvl w:val="0"/>
          <w:numId w:val="2"/>
        </w:numPr>
        <w:spacing w:after="80"/>
      </w:pPr>
      <w:r>
        <w:rPr>
          <w:rFonts w:ascii="Arial" w:cs="Arial" w:eastAsia="Arial" w:hAnsi="Arial"/>
          <w:sz w:val="22"/>
          <w:szCs w:val="22"/>
        </w:rPr>
        <w:t xml:space="preserve">Upload PDF documents and attach them to the record</w:t>
      </w:r>
    </w:p>
    <w:p>
      <w:pPr>
        <w:pStyle w:val="ListParagraph"/>
        <w:numPr>
          <w:ilvl w:val="0"/>
          <w:numId w:val="2"/>
        </w:numPr>
        <w:spacing w:after="80"/>
      </w:pPr>
      <w:r>
        <w:rPr>
          <w:rFonts w:ascii="Arial" w:cs="Arial" w:eastAsia="Arial" w:hAnsi="Arial"/>
          <w:sz w:val="22"/>
          <w:szCs w:val="22"/>
        </w:rPr>
        <w:t xml:space="preserve">Verify and route documents to the correct permanent Box folder based on document type</w:t>
      </w:r>
    </w:p>
    <w:p>
      <w:pPr>
        <w:pStyle w:val="ListParagraph"/>
        <w:numPr>
          <w:ilvl w:val="0"/>
          <w:numId w:val="2"/>
        </w:numPr>
        <w:spacing w:after="80"/>
      </w:pPr>
      <w:r>
        <w:rPr>
          <w:rFonts w:ascii="Arial" w:cs="Arial" w:eastAsia="Arial" w:hAnsi="Arial"/>
          <w:sz w:val="22"/>
          <w:szCs w:val="22"/>
        </w:rPr>
        <w:t xml:space="preserve">Send a confirmation email to the client on successful completion</w:t>
      </w:r>
    </w:p>
    <w:p>
      <w:pPr>
        <w:pStyle w:val="ListParagraph"/>
        <w:numPr>
          <w:ilvl w:val="0"/>
          <w:numId w:val="2"/>
        </w:numPr>
        <w:spacing w:after="80"/>
      </w:pPr>
      <w:r>
        <w:rPr>
          <w:rFonts w:ascii="Arial" w:cs="Arial" w:eastAsia="Arial" w:hAnsi="Arial"/>
          <w:sz w:val="22"/>
          <w:szCs w:val="22"/>
        </w:rPr>
        <w:t xml:space="preserve">Clean up the temporary staging folder</w:t>
      </w:r>
    </w:p>
    <w:p>
      <w:pPr>
        <w:spacing w:after="120"/>
      </w:pPr>
    </w:p>
    <w:p>
      <w:pPr>
        <w:pStyle w:val="Heading2"/>
        <w:spacing w:after="120" w:before="240"/>
      </w:pPr>
      <w:r>
        <w:rPr>
          <w:rFonts w:ascii="Arial" w:cs="Arial" w:eastAsia="Arial" w:hAnsi="Arial"/>
          <w:b/>
          <w:bCs/>
          <w:color w:val="1F4E79"/>
          <w:sz w:val="26"/>
          <w:szCs w:val="26"/>
        </w:rPr>
        <w:t xml:space="preserve">1.3 Record Types</w:t>
      </w:r>
    </w:p>
    <w:p>
      <w:pPr>
        <w:spacing w:after="120" w:before="0"/>
      </w:pPr>
      <w:r>
        <w:rPr>
          <w:rFonts w:ascii="Arial" w:cs="Arial" w:eastAsia="Arial" w:hAnsi="Arial"/>
          <w:b w:val="false"/>
          <w:bCs w:val="false"/>
          <w:color w:val="000000"/>
          <w:sz w:val="22"/>
          <w:szCs w:val="22"/>
        </w:rPr>
        <w:t xml:space="preserve">There is one primary record type: a Tax Document Routing record (also called a case or routing record). Each record represents one routing event for one client and may contain multiple documents of one or more types.</w:t>
      </w:r>
    </w:p>
    <w:p>
      <w:pPr>
        <w:pStyle w:val="Heading2"/>
        <w:spacing w:after="120" w:before="240"/>
      </w:pPr>
      <w:r>
        <w:rPr>
          <w:rFonts w:ascii="Arial" w:cs="Arial" w:eastAsia="Arial" w:hAnsi="Arial"/>
          <w:b/>
          <w:bCs/>
          <w:color w:val="1F4E79"/>
          <w:sz w:val="26"/>
          <w:szCs w:val="26"/>
        </w:rPr>
        <w:t xml:space="preserve">1.4 Key Outcomes</w:t>
      </w:r>
    </w:p>
    <w:p>
      <w:pPr>
        <w:pStyle w:val="ListParagraph"/>
        <w:numPr>
          <w:ilvl w:val="0"/>
          <w:numId w:val="2"/>
        </w:numPr>
        <w:spacing w:after="80"/>
      </w:pPr>
      <w:r>
        <w:rPr>
          <w:rFonts w:ascii="Arial" w:cs="Arial" w:eastAsia="Arial" w:hAnsi="Arial"/>
          <w:sz w:val="22"/>
          <w:szCs w:val="22"/>
        </w:rPr>
        <w:t xml:space="preserve">Documents are filed in the correct permanent Box folder every time, with no manual folder navigation required</w:t>
      </w:r>
    </w:p>
    <w:p>
      <w:pPr>
        <w:pStyle w:val="ListParagraph"/>
        <w:numPr>
          <w:ilvl w:val="0"/>
          <w:numId w:val="2"/>
        </w:numPr>
        <w:spacing w:after="80"/>
      </w:pPr>
      <w:r>
        <w:rPr>
          <w:rFonts w:ascii="Arial" w:cs="Arial" w:eastAsia="Arial" w:hAnsi="Arial"/>
          <w:sz w:val="22"/>
          <w:szCs w:val="22"/>
        </w:rPr>
        <w:t xml:space="preserve">A complete audit trail is maintained for every routing event</w:t>
      </w:r>
    </w:p>
    <w:p>
      <w:pPr>
        <w:pStyle w:val="ListParagraph"/>
        <w:numPr>
          <w:ilvl w:val="0"/>
          <w:numId w:val="2"/>
        </w:numPr>
        <w:spacing w:after="80"/>
      </w:pPr>
      <w:r>
        <w:rPr>
          <w:rFonts w:ascii="Arial" w:cs="Arial" w:eastAsia="Arial" w:hAnsi="Arial"/>
          <w:sz w:val="22"/>
          <w:szCs w:val="22"/>
        </w:rPr>
        <w:t xml:space="preserve">Clients receive automated confirmation emails on completion</w:t>
      </w:r>
    </w:p>
    <w:p>
      <w:pPr>
        <w:pStyle w:val="ListParagraph"/>
        <w:numPr>
          <w:ilvl w:val="0"/>
          <w:numId w:val="2"/>
        </w:numPr>
        <w:spacing w:after="80"/>
      </w:pPr>
      <w:r>
        <w:rPr>
          <w:rFonts w:ascii="Arial" w:cs="Arial" w:eastAsia="Arial" w:hAnsi="Arial"/>
          <w:sz w:val="22"/>
          <w:szCs w:val="22"/>
        </w:rPr>
        <w:t xml:space="preserve">Exceptions (folder creation failures, processing errors) are surfaced to staff via a dedicated exception queue</w:t>
      </w:r>
    </w:p>
    <w:p>
      <w:r>
        <w:br w:type="page"/>
      </w:r>
    </w:p>
    <w:p>
      <w:pPr>
        <w:pStyle w:val="Heading1"/>
        <w:spacing w:after="160" w:before="360"/>
      </w:pPr>
      <w:r>
        <w:rPr>
          <w:rFonts w:ascii="Arial" w:cs="Arial" w:eastAsia="Arial" w:hAnsi="Arial"/>
          <w:b/>
          <w:bCs/>
          <w:color w:val="1F4E79"/>
          <w:sz w:val="32"/>
          <w:szCs w:val="32"/>
        </w:rPr>
        <w:t xml:space="preserve">2. User Roles and Permissions</w:t>
      </w:r>
    </w:p>
    <w:p>
      <w:pPr>
        <w:pStyle w:val="Heading2"/>
        <w:spacing w:after="120" w:before="240"/>
      </w:pPr>
      <w:r>
        <w:rPr>
          <w:rFonts w:ascii="Arial" w:cs="Arial" w:eastAsia="Arial" w:hAnsi="Arial"/>
          <w:b/>
          <w:bCs/>
          <w:color w:val="1F4E79"/>
          <w:sz w:val="26"/>
          <w:szCs w:val="26"/>
        </w:rPr>
        <w:t xml:space="preserve">2.1 Role Definitions</w:t>
      </w:r>
    </w:p>
    <w:p>
      <w:pPr>
        <w:spacing w:after="120" w:before="0"/>
      </w:pPr>
      <w:r>
        <w:rPr>
          <w:rFonts w:ascii="Arial" w:cs="Arial" w:eastAsia="Arial" w:hAnsi="Arial"/>
          <w:b w:val="false"/>
          <w:bCs w:val="false"/>
          <w:color w:val="000000"/>
          <w:sz w:val="22"/>
          <w:szCs w:val="22"/>
        </w:rPr>
        <w:t xml:space="preserve">There are two user roles. Both use the same web portal — differences are in what data they see and what actions they can take.</w:t>
      </w:r>
    </w:p>
    <w:p>
      <w:pPr>
        <w:pStyle w:val="Heading3"/>
        <w:spacing w:after="100" w:before="180"/>
      </w:pPr>
      <w:r>
        <w:rPr>
          <w:rFonts w:ascii="Arial" w:cs="Arial" w:eastAsia="Arial" w:hAnsi="Arial"/>
          <w:b/>
          <w:bCs/>
          <w:color w:val="2E75B6"/>
          <w:sz w:val="24"/>
          <w:szCs w:val="24"/>
        </w:rPr>
        <w:t xml:space="preserve">Standard User (Tax Staff)</w:t>
      </w:r>
    </w:p>
    <w:p>
      <w:pPr>
        <w:spacing w:after="120" w:before="0"/>
      </w:pPr>
      <w:r>
        <w:rPr>
          <w:rFonts w:ascii="Arial" w:cs="Arial" w:eastAsia="Arial" w:hAnsi="Arial"/>
          <w:b w:val="false"/>
          <w:bCs w:val="false"/>
          <w:color w:val="000000"/>
          <w:sz w:val="22"/>
          <w:szCs w:val="22"/>
        </w:rPr>
        <w:t xml:space="preserve">A tax department staff member responsible for day-to-day document processing. They create new routing records, enter client and document information, upload documents, and complete the routing workflow. They can only see and act on records assigned to themselves.</w:t>
      </w:r>
    </w:p>
    <w:p>
      <w:pPr>
        <w:pStyle w:val="Heading3"/>
        <w:spacing w:after="100" w:before="180"/>
      </w:pPr>
      <w:r>
        <w:rPr>
          <w:rFonts w:ascii="Arial" w:cs="Arial" w:eastAsia="Arial" w:hAnsi="Arial"/>
          <w:b/>
          <w:bCs/>
          <w:color w:val="2E75B6"/>
          <w:sz w:val="24"/>
          <w:szCs w:val="24"/>
        </w:rPr>
        <w:t xml:space="preserve">Administrator (Tax Admin)</w:t>
      </w:r>
    </w:p>
    <w:p>
      <w:pPr>
        <w:spacing w:after="120" w:before="0"/>
      </w:pPr>
      <w:r>
        <w:rPr>
          <w:rFonts w:ascii="Arial" w:cs="Arial" w:eastAsia="Arial" w:hAnsi="Arial"/>
          <w:b w:val="false"/>
          <w:bCs w:val="false"/>
          <w:color w:val="000000"/>
          <w:sz w:val="22"/>
          <w:szCs w:val="22"/>
        </w:rPr>
        <w:t xml:space="preserve">A senior tax department staff member or manager. They have all the capabilities of a Standard User plus the ability to see all routing records across all staff members, monitor the full team workload, and permanently cancel or withdraw records. Only Administrators can cancel a case.</w:t>
      </w:r>
    </w:p>
    <w:p>
      <w:pPr>
        <w:pStyle w:val="Heading2"/>
        <w:spacing w:after="120" w:before="240"/>
      </w:pPr>
      <w:r>
        <w:rPr>
          <w:rFonts w:ascii="Arial" w:cs="Arial" w:eastAsia="Arial" w:hAnsi="Arial"/>
          <w:b/>
          <w:bCs/>
          <w:color w:val="1F4E79"/>
          <w:sz w:val="26"/>
          <w:szCs w:val="26"/>
        </w:rPr>
        <w:t xml:space="preserve">2.2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Capability</w:t>
            </w:r>
          </w:p>
        </w:tc>
        <w:tc>
          <w:tcPr>
            <w:tcW w:type="dxa" w:w="234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Standard User</w:t>
            </w:r>
          </w:p>
        </w:tc>
        <w:tc>
          <w:tcPr>
            <w:tcW w:type="dxa" w:w="234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Administrator</w:t>
            </w:r>
          </w:p>
        </w:tc>
      </w:tr>
      <w:tr>
        <w:tc>
          <w:tcPr>
            <w:tcW w:type="dxa" w:w="468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Create new routing record</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Process own assigned records</w:t>
            </w:r>
          </w:p>
        </w:tc>
        <w:tc>
          <w:tcPr>
            <w:tcW w:type="dxa" w:w="234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View all records in the system</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See who each record is assigned to</w:t>
            </w:r>
          </w:p>
        </w:tc>
        <w:tc>
          <w:tcPr>
            <w:tcW w:type="dxa" w:w="234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Bulk-select and resolve multiple records</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Cancel / withdraw a record permanently</w:t>
            </w:r>
          </w:p>
        </w:tc>
        <w:tc>
          <w:tcPr>
            <w:tcW w:type="dxa" w:w="234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View exception queue</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r>
    </w:tbl>
    <w:p>
      <w:pPr>
        <w:spacing w:after="120"/>
      </w:pPr>
    </w:p>
    <w:p>
      <w:pPr>
        <w:pStyle w:val="Heading2"/>
        <w:spacing w:after="120" w:before="240"/>
      </w:pPr>
      <w:r>
        <w:rPr>
          <w:rFonts w:ascii="Arial" w:cs="Arial" w:eastAsia="Arial" w:hAnsi="Arial"/>
          <w:b/>
          <w:bCs/>
          <w:color w:val="1F4E79"/>
          <w:sz w:val="26"/>
          <w:szCs w:val="26"/>
        </w:rPr>
        <w:t xml:space="preserve">2.3 Data Scoping</w:t>
      </w:r>
    </w:p>
    <w:p>
      <w:pPr>
        <w:spacing w:after="120" w:before="0"/>
      </w:pPr>
      <w:r>
        <w:rPr>
          <w:rFonts w:ascii="Arial" w:cs="Arial" w:eastAsia="Arial" w:hAnsi="Arial"/>
          <w:b w:val="false"/>
          <w:bCs w:val="false"/>
          <w:color w:val="000000"/>
          <w:sz w:val="22"/>
          <w:szCs w:val="22"/>
        </w:rPr>
        <w:t xml:space="preserve">Standard Users see only records where they are the assigned operator. This filter is applied at the data query level — users cannot access any records outside their own assignment.</w:t>
      </w:r>
    </w:p>
    <w:p>
      <w:pPr>
        <w:spacing w:after="120" w:before="0"/>
      </w:pPr>
      <w:r>
        <w:rPr>
          <w:rFonts w:ascii="Arial" w:cs="Arial" w:eastAsia="Arial" w:hAnsi="Arial"/>
          <w:b w:val="false"/>
          <w:bCs w:val="false"/>
          <w:color w:val="000000"/>
          <w:sz w:val="22"/>
          <w:szCs w:val="22"/>
        </w:rPr>
        <w:t xml:space="preserve">Administrators see all records across all users. Their dashboard grid includes an additional Assigned To column that Standard Users do not see.</w:t>
      </w:r>
    </w:p>
    <w:p>
      <w:r>
        <w:br w:type="page"/>
      </w:r>
    </w:p>
    <w:p>
      <w:pPr>
        <w:pStyle w:val="Heading1"/>
        <w:spacing w:after="160" w:before="360"/>
      </w:pPr>
      <w:r>
        <w:rPr>
          <w:rFonts w:ascii="Arial" w:cs="Arial" w:eastAsia="Arial" w:hAnsi="Arial"/>
          <w:b/>
          <w:bCs/>
          <w:color w:val="1F4E79"/>
          <w:sz w:val="32"/>
          <w:szCs w:val="32"/>
        </w:rPr>
        <w:t xml:space="preserve">3. Data Model</w:t>
      </w:r>
    </w:p>
    <w:p>
      <w:pPr>
        <w:pStyle w:val="Heading2"/>
        <w:spacing w:after="120" w:before="240"/>
      </w:pPr>
      <w:r>
        <w:rPr>
          <w:rFonts w:ascii="Arial" w:cs="Arial" w:eastAsia="Arial" w:hAnsi="Arial"/>
          <w:b/>
          <w:bCs/>
          <w:color w:val="1F4E79"/>
          <w:sz w:val="26"/>
          <w:szCs w:val="26"/>
        </w:rPr>
        <w:t xml:space="preserve">3.1 Primary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Field</w:t>
            </w:r>
          </w:p>
        </w:tc>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Type</w:t>
            </w:r>
          </w:p>
        </w:tc>
        <w:tc>
          <w:tcPr>
            <w:tcW w:type="dxa" w:w="12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Required</w:t>
            </w:r>
          </w:p>
        </w:tc>
        <w:tc>
          <w:tcPr>
            <w:tcW w:type="dxa" w:w="37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Record ID</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 (auto-generated)</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System-generated unique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Current lifecycle state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Created Date</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Auto-set on creation</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Last Updated</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DateTime</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Auto-updated on every save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Assigned Operator</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Staff member currently responsible</w:t>
            </w:r>
          </w:p>
        </w:tc>
      </w:tr>
    </w:tbl>
    <w:p>
      <w:pPr>
        <w:spacing w:after="120"/>
      </w:pPr>
    </w:p>
    <w:p>
      <w:pPr>
        <w:pStyle w:val="Heading2"/>
        <w:spacing w:after="120" w:before="240"/>
      </w:pPr>
      <w:r>
        <w:rPr>
          <w:rFonts w:ascii="Arial" w:cs="Arial" w:eastAsia="Arial" w:hAnsi="Arial"/>
          <w:b/>
          <w:bCs/>
          <w:color w:val="1F4E79"/>
          <w:sz w:val="26"/>
          <w:szCs w:val="26"/>
        </w:rPr>
        <w:t xml:space="preserve">3.2 Client (Taxpayer)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Field</w:t>
            </w:r>
          </w:p>
        </w:tc>
        <w:tc>
          <w:tcPr>
            <w:tcW w:type="dxa" w:w="16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Type</w:t>
            </w:r>
          </w:p>
        </w:tc>
        <w:tc>
          <w:tcPr>
            <w:tcW w:type="dxa" w:w="12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Required</w:t>
            </w:r>
          </w:p>
        </w:tc>
        <w:tc>
          <w:tcPr>
            <w:tcW w:type="dxa" w:w="41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First Name</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Auto-populated from client lookup</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Last Name</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Auto-populated from client lookup</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Full Name</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Auto-populated from client lookup</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Office Location</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Doctor's primary office location</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PDS Email</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Doctor's internal/work email address</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Personal Email</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Doctor's personal email address</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Additional Email</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Optional third email for notifications</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Notification Flag</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Whether to send emails to the client</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Internal Folder</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Reference to client's permanent internal Box folder</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Folder Name</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Display name of the client's Box folder</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Read/Write Password</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Credential used for Box API operations</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Reference ID</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Unique ID from client reference database</w:t>
            </w:r>
          </w:p>
        </w:tc>
      </w:tr>
    </w:tbl>
    <w:p>
      <w:pPr>
        <w:spacing w:after="120"/>
      </w:pPr>
    </w:p>
    <w:p>
      <w:pPr>
        <w:pStyle w:val="Heading2"/>
        <w:spacing w:after="120" w:before="240"/>
      </w:pPr>
      <w:r>
        <w:rPr>
          <w:rFonts w:ascii="Arial" w:cs="Arial" w:eastAsia="Arial" w:hAnsi="Arial"/>
          <w:b/>
          <w:bCs/>
          <w:color w:val="1F4E79"/>
          <w:sz w:val="26"/>
          <w:szCs w:val="26"/>
        </w:rPr>
        <w:t xml:space="preserve">3.3 Document Fields (per document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Field</w:t>
            </w:r>
          </w:p>
        </w:tc>
        <w:tc>
          <w:tcPr>
            <w:tcW w:type="dxa" w:w="16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Type</w:t>
            </w:r>
          </w:p>
        </w:tc>
        <w:tc>
          <w:tcPr>
            <w:tcW w:type="dxa" w:w="12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Required</w:t>
            </w:r>
          </w:p>
        </w:tc>
        <w:tc>
          <w:tcPr>
            <w:tcW w:type="dxa" w:w="41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Document Type</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See Document Type table</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Document Year</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Tax year the document applies to</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Document Name</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File name or descriptive name</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Entity Type</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Required when document belongs to an entity</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Entity Name</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Dropdown (lookup)</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Conditional</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Required when Entity Type is selected</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Entity Type Number</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Numeric identifier for the entity type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Is Password Protected</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Whether the PDF is password-protected</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Box File URL</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URL</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Populated by system after Box upload</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Is Duplicate</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Auto</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Set by system if duplicate detected</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Attachment File</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File (PDF)</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The document file to upload</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K-1 Attachments</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File List</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Conditional</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Additional K-1 files (K-1 types only)</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Form 8308 Attachments</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File List</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Additional Form 8308 files</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Amended Documents</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File List</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Amended versions of documents</w:t>
            </w:r>
          </w:p>
        </w:tc>
      </w:tr>
    </w:tbl>
    <w:p>
      <w:pPr>
        <w:spacing w:after="120"/>
      </w:pPr>
    </w:p>
    <w:p>
      <w:pPr>
        <w:pStyle w:val="Heading2"/>
        <w:spacing w:after="120" w:before="240"/>
      </w:pPr>
      <w:r>
        <w:rPr>
          <w:rFonts w:ascii="Arial" w:cs="Arial" w:eastAsia="Arial" w:hAnsi="Arial"/>
          <w:b/>
          <w:bCs/>
          <w:color w:val="1F4E79"/>
          <w:sz w:val="26"/>
          <w:szCs w:val="26"/>
        </w:rPr>
        <w:t xml:space="preserve">3.4 Document Type → Box Folder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700"/>
        <w:gridCol w:w="1700"/>
        <w:gridCol w:w="2360"/>
      </w:tblGrid>
      <w:tr>
        <w:trPr>
          <w:tblHeader/>
        </w:trPr>
        <w:tc>
          <w:tcPr>
            <w:tcW w:type="dxa" w:w="15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Document Type</w:t>
            </w:r>
          </w:p>
        </w:tc>
        <w:tc>
          <w:tcPr>
            <w:tcW w:type="dxa" w:w="21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Business Name</w:t>
            </w:r>
          </w:p>
        </w:tc>
        <w:tc>
          <w:tcPr>
            <w:tcW w:type="dxa" w:w="17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External Folder</w:t>
            </w:r>
          </w:p>
        </w:tc>
        <w:tc>
          <w:tcPr>
            <w:tcW w:type="dxa" w:w="17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Internal Folder</w:t>
            </w:r>
          </w:p>
        </w:tc>
        <w:tc>
          <w:tcPr>
            <w:tcW w:type="dxa" w:w="2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Note</w:t>
            </w:r>
          </w:p>
        </w:tc>
      </w:tr>
      <w:tr>
        <w:tc>
          <w:tcPr>
            <w:tcW w:type="dxa" w:w="1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K-1</w:t>
            </w:r>
          </w:p>
        </w:tc>
        <w:tc>
          <w:tcPr>
            <w:tcW w:type="dxa" w:w="21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Schedule K-1</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K-1s</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4. Tax Documents</w:t>
            </w:r>
          </w:p>
        </w:tc>
        <w:tc>
          <w:tcPr>
            <w:tcW w:type="dxa" w:w="2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Batches of 3,000+ possible</w:t>
            </w:r>
          </w:p>
        </w:tc>
      </w:tr>
      <w:tr>
        <w:tc>
          <w:tcPr>
            <w:tcW w:type="dxa" w:w="1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Draft K-1</w:t>
            </w:r>
          </w:p>
        </w:tc>
        <w:tc>
          <w:tcPr>
            <w:tcW w:type="dxa" w:w="2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Draft Schedule K-1</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K-1s</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4. Tax Documents</w:t>
            </w:r>
          </w:p>
        </w:tc>
        <w:tc>
          <w:tcPr>
            <w:tcW w:type="dxa" w:w="2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Preliminary K-1</w:t>
            </w:r>
          </w:p>
        </w:tc>
      </w:tr>
      <w:tr>
        <w:tc>
          <w:tcPr>
            <w:tcW w:type="dxa" w:w="1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Tax Return</w:t>
            </w:r>
          </w:p>
        </w:tc>
        <w:tc>
          <w:tcPr>
            <w:tcW w:type="dxa" w:w="21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Tax Return (1040/1065/1120)</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Tax Returns</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7. Tax Returns</w:t>
            </w:r>
          </w:p>
        </w:tc>
        <w:tc>
          <w:tcPr>
            <w:tcW w:type="dxa" w:w="2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Personal, partnership, or corporate</w:t>
            </w:r>
          </w:p>
        </w:tc>
      </w:tr>
      <w:tr>
        <w:tc>
          <w:tcPr>
            <w:tcW w:type="dxa" w:w="1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Income Statement</w:t>
            </w:r>
          </w:p>
        </w:tc>
        <w:tc>
          <w:tcPr>
            <w:tcW w:type="dxa" w:w="2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Income Statement</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Loan Assistance</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Loan Assistance</w:t>
            </w:r>
          </w:p>
        </w:tc>
        <w:tc>
          <w:tcPr>
            <w:tcW w:type="dxa" w:w="2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Financial statement for loans</w:t>
            </w:r>
          </w:p>
        </w:tc>
      </w:tr>
      <w:tr>
        <w:tc>
          <w:tcPr>
            <w:tcW w:type="dxa" w:w="1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Balance Sheet</w:t>
            </w:r>
          </w:p>
        </w:tc>
        <w:tc>
          <w:tcPr>
            <w:tcW w:type="dxa" w:w="21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Balance Sheet</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Loan Assistance</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Loan Assistance</w:t>
            </w:r>
          </w:p>
        </w:tc>
        <w:tc>
          <w:tcPr>
            <w:tcW w:type="dxa" w:w="2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Financial statement for loans</w:t>
            </w:r>
          </w:p>
        </w:tc>
      </w:tr>
      <w:tr>
        <w:tc>
          <w:tcPr>
            <w:tcW w:type="dxa" w:w="1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S-Corp Election</w:t>
            </w:r>
          </w:p>
        </w:tc>
        <w:tc>
          <w:tcPr>
            <w:tcW w:type="dxa" w:w="2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S-Corp Election</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Signature Requests</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External only</w:t>
            </w:r>
          </w:p>
        </w:tc>
        <w:tc>
          <w:tcPr>
            <w:tcW w:type="dxa" w:w="2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Requires signature</w:t>
            </w:r>
          </w:p>
        </w:tc>
      </w:tr>
      <w:tr>
        <w:tc>
          <w:tcPr>
            <w:tcW w:type="dxa" w:w="1500"/>
            <w:shd w:fill="F2F2F2" w:val="clear"/>
            <w:tcMar>
              <w:top w:type="dxa" w:w="80"/>
              <w:start w:type="dxa" w:w="120"/>
              <w:bottom w:type="dxa" w:w="80"/>
              <w:end w:type="dxa" w:w="120"/>
            </w:tcMar>
          </w:tcPr>
          <w:p>
            <w:r>
              <w:rPr>
                <w:rFonts w:ascii="Arial" w:hAnsi="Arial"/>
                <w:sz w:val="20"/>
              </w:rPr>
              <w:t xml:space="preserve">S-Corp</w:t>
            </w:r>
          </w:p>
        </w:tc>
        <w:tc>
          <w:tcPr>
            <w:tcW w:type="dxa" w:w="2100"/>
            <w:shd w:fill="F2F2F2" w:val="clear"/>
            <w:tcMar>
              <w:top w:type="dxa" w:w="80"/>
              <w:start w:type="dxa" w:w="120"/>
              <w:bottom w:type="dxa" w:w="80"/>
              <w:end w:type="dxa" w:w="120"/>
            </w:tcMar>
          </w:tcPr>
          <w:p>
            <w:r>
              <w:rPr>
                <w:rFonts w:ascii="Arial" w:hAnsi="Arial"/>
                <w:sz w:val="20"/>
              </w:rPr>
              <w:t xml:space="preserve">S-Corporation (IsDocumentType_SCorp)</w:t>
            </w:r>
          </w:p>
        </w:tc>
        <w:tc>
          <w:tcPr>
            <w:tcW w:type="dxa" w:w="1700"/>
            <w:shd w:fill="F2F2F2" w:val="clear"/>
            <w:tcMar>
              <w:top w:type="dxa" w:w="80"/>
              <w:start w:type="dxa" w:w="120"/>
              <w:bottom w:type="dxa" w:w="80"/>
              <w:end w:type="dxa" w:w="120"/>
            </w:tcMar>
          </w:tcPr>
          <w:p>
            <w:r>
              <w:rPr>
                <w:rFonts w:ascii="Arial" w:hAnsi="Arial"/>
                <w:sz w:val="20"/>
              </w:rPr>
              <w:t xml:space="preserve">Signature Requests</w:t>
            </w:r>
          </w:p>
        </w:tc>
        <w:tc>
          <w:tcPr>
            <w:tcW w:type="dxa" w:w="1700"/>
            <w:shd w:fill="F2F2F2" w:val="clear"/>
            <w:tcMar>
              <w:top w:type="dxa" w:w="80"/>
              <w:start w:type="dxa" w:w="120"/>
              <w:bottom w:type="dxa" w:w="80"/>
              <w:end w:type="dxa" w:w="120"/>
            </w:tcMar>
          </w:tcPr>
          <w:p>
            <w:r>
              <w:rPr>
                <w:rFonts w:ascii="Arial" w:hAnsi="Arial"/>
                <w:sz w:val="20"/>
              </w:rPr>
              <w:t xml:space="preserve">External only</w:t>
            </w:r>
          </w:p>
        </w:tc>
        <w:tc>
          <w:tcPr>
            <w:tcW w:type="dxa" w:w="2360"/>
            <w:shd w:fill="F2F2F2" w:val="clear"/>
            <w:tcMar>
              <w:top w:type="dxa" w:w="80"/>
              <w:start w:type="dxa" w:w="120"/>
              <w:bottom w:type="dxa" w:w="80"/>
              <w:end w:type="dxa" w:w="120"/>
            </w:tcMar>
          </w:tcPr>
          <w:p>
            <w:r>
              <w:rPr>
                <w:rFonts w:ascii="Arial" w:hAnsi="Arial"/>
                <w:sz w:val="20"/>
              </w:rPr>
              <w:t xml:space="preserve">Distinct from S-Corp Election. Added Jan 2025.</w:t>
            </w:r>
          </w:p>
        </w:tc>
      </w:tr>
      <w:tr>
        <w:tc>
          <w:tcPr>
            <w:tcW w:type="dxa" w:w="1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Form 8308</w:t>
            </w:r>
          </w:p>
        </w:tc>
        <w:tc>
          <w:tcPr>
            <w:tcW w:type="dxa" w:w="21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Form 8308</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K-1s</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External only</w:t>
            </w:r>
          </w:p>
        </w:tc>
        <w:tc>
          <w:tcPr>
            <w:tcW w:type="dxa" w:w="2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Partnership interest sale/exchange</w:t>
            </w:r>
          </w:p>
        </w:tc>
      </w:tr>
      <w:tr>
        <w:tc>
          <w:tcPr>
            <w:tcW w:type="dxa" w:w="1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Extensions</w:t>
            </w:r>
          </w:p>
        </w:tc>
        <w:tc>
          <w:tcPr>
            <w:tcW w:type="dxa" w:w="2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Tax Extension</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Tax Returns</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External only</w:t>
            </w:r>
          </w:p>
        </w:tc>
        <w:tc>
          <w:tcPr>
            <w:tcW w:type="dxa" w:w="2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Filing extension documents</w:t>
            </w:r>
          </w:p>
        </w:tc>
      </w:tr>
    </w:tbl>
    <w:p>
      <w:pPr>
        <w:spacing w:after="120"/>
      </w:pPr>
    </w:p>
    <w:p>
      <w:pPr>
        <w:spacing w:after="120" w:before="0"/>
      </w:pPr>
      <w:r>
        <w:rPr>
          <w:rFonts w:ascii="Arial" w:cs="Arial" w:eastAsia="Arial" w:hAnsi="Arial"/>
          <w:b w:val="false"/>
          <w:bCs w:val="false"/>
          <w:color w:val="000000"/>
          <w:sz w:val="22"/>
          <w:szCs w:val="22"/>
        </w:rPr>
        <w:t xml:space="preserve">External only: S-Corp Election, S-Corp, Form 8308, and Extensions route only to the external Box folder. They do not write to the internal folder hierarchy. Note: S-Corp (IsDocumentType_SCorp) is a distinct document type from S-Corp Election and routes to Signature Requests (external only).</w:t>
      </w:r>
    </w:p>
    <w:p>
      <w:r>
        <w:br w:type="page"/>
      </w:r>
    </w:p>
    <w:p>
      <w:r>
        <w:br w:type="page"/>
      </w:r>
    </w:p>
    <w:p>
      <w:pPr>
        <w:pStyle w:val="Heading2"/>
        <w:spacing w:after="120" w:before="240"/>
      </w:pPr>
      <w:r>
        <w:rPr>
          <w:rFonts w:ascii="Arial" w:cs="Arial" w:eastAsia="Arial" w:hAnsi="Arial"/>
          <w:b/>
          <w:bCs/>
          <w:color w:val="1F4E79"/>
          <w:sz w:val="26"/>
          <w:szCs w:val="26"/>
        </w:rPr>
        <w:t xml:space="preserve">3.5 Reference Class — TaxPayerRefData (Taxpayer Reference Table)</w:t>
      </w:r>
    </w:p>
    <w:p>
      <w:pPr>
        <w:spacing w:after="120" w:before="0"/>
      </w:pPr>
      <w:r>
        <w:rPr>
          <w:rFonts w:ascii="Arial" w:cs="Arial" w:eastAsia="Arial" w:hAnsi="Arial"/>
          <w:color w:val="000000"/>
          <w:sz w:val="22"/>
          <w:szCs w:val="22"/>
        </w:rPr>
        <w:t xml:space="preserve">PDS-FW-Tax-Data-TaxPayerRefData is the master client registry. It holds one record per owner-doctor client and is the source of all client information that auto-populates on Tab 1 when a staff member creates a new routing record. It is maintained by administrators independently of the case workflow.</w:t>
      </w:r>
    </w:p>
    <w:p>
      <w:pPr>
        <w:spacing w:after="120"/>
      </w:pPr>
    </w:p>
    <w:p>
      <w:pPr>
        <w:pStyle w:val="Heading3"/>
        <w:spacing w:after="100" w:before="180"/>
      </w:pPr>
      <w:r>
        <w:rPr>
          <w:rFonts w:ascii="Arial" w:cs="Arial" w:eastAsia="Arial" w:hAnsi="Arial"/>
          <w:b/>
          <w:bCs/>
          <w:color w:val="2E75B6"/>
          <w:sz w:val="24"/>
          <w:szCs w:val="24"/>
        </w:rPr>
        <w:t xml:space="preserve">Fields stored per client</w:t>
      </w:r>
    </w:p>
    <w:p>
      <w:pPr>
        <w:spacing w:after="120"/>
      </w:pPr>
    </w:p>
    <w:p>
      <w:pPr>
        <w:pStyle w:val="Heading3"/>
        <w:spacing w:after="100" w:before="180"/>
      </w:pPr>
      <w:r>
        <w:rPr>
          <w:rFonts w:ascii="Arial" w:cs="Arial" w:eastAsia="Arial" w:hAnsi="Arial"/>
          <w:b/>
          <w:bCs/>
          <w:color w:val="2E75B6"/>
          <w:sz w:val="24"/>
          <w:szCs w:val="24"/>
        </w:rPr>
        <w:t xml:space="preserve">GetTaxPayerDetails — how data reaches the case</w:t>
      </w:r>
    </w:p>
    <w:p>
      <w:pPr>
        <w:spacing w:after="120" w:before="0"/>
      </w:pPr>
      <w:r>
        <w:rPr>
          <w:rFonts w:ascii="Arial" w:cs="Arial" w:eastAsia="Arial" w:hAnsi="Arial"/>
          <w:color w:val="000000"/>
          <w:sz w:val="22"/>
          <w:szCs w:val="22"/>
        </w:rPr>
        <w:t xml:space="preserve">GetTaxPayerDetails is the Report Definition that populates the Tab 1 client dropdown. Key characteristics:</w:t>
      </w:r>
    </w:p>
    <w:p>
      <w:pPr>
        <w:numPr>
          <w:ilvl w:val="0"/>
          <w:numId w:val="1"/>
        </w:numPr>
        <w:spacing w:after="80"/>
      </w:pPr>
      <w:r>
        <w:rPr>
          <w:rFonts w:ascii="Arial" w:cs="Arial" w:eastAsia="Arial" w:hAnsi="Arial"/>
          <w:sz w:val="22"/>
          <w:szCs w:val="22"/>
        </w:rPr>
        <w:t xml:space="preserve">Source: alternate database (pyUseAlternateDB = true) — TaxPayerRefData is not stored in Pega's primary database; it lives in a separate data store</w:t>
      </w:r>
    </w:p>
    <w:p>
      <w:pPr>
        <w:numPr>
          <w:ilvl w:val="0"/>
          <w:numId w:val="1"/>
        </w:numPr>
        <w:spacing w:after="80"/>
      </w:pPr>
      <w:r>
        <w:rPr>
          <w:rFonts w:ascii="Arial" w:cs="Arial" w:eastAsia="Arial" w:hAnsi="Arial"/>
          <w:sz w:val="22"/>
          <w:szCs w:val="22"/>
        </w:rPr>
        <w:t xml:space="preserve">Filter: IsActive = 'YES' (case-insensitive) — inactive clients hidden</w:t>
      </w:r>
    </w:p>
    <w:p>
      <w:pPr>
        <w:numPr>
          <w:ilvl w:val="0"/>
          <w:numId w:val="1"/>
        </w:numPr>
        <w:spacing w:after="80"/>
      </w:pPr>
      <w:r>
        <w:rPr>
          <w:rFonts w:ascii="Arial" w:cs="Arial" w:eastAsia="Arial" w:hAnsi="Arial"/>
          <w:sz w:val="22"/>
          <w:szCs w:val="22"/>
        </w:rPr>
        <w:t xml:space="preserve">No search parameters — the entire active client list is returned on every Tab 1 load, sorted by FullName ascending</w:t>
      </w:r>
    </w:p>
    <w:p>
      <w:pPr>
        <w:numPr>
          <w:ilvl w:val="0"/>
          <w:numId w:val="1"/>
        </w:numPr>
        <w:spacing w:after="80"/>
      </w:pPr>
      <w:r>
        <w:rPr>
          <w:rFonts w:ascii="Arial" w:cs="Arial" w:eastAsia="Arial" w:hAnsi="Arial"/>
          <w:sz w:val="22"/>
          <w:szCs w:val="22"/>
        </w:rPr>
        <w:t xml:space="preserve">Max records: 100,000. Paging disabled. Full result set fetched into memory each time.</w:t>
      </w:r>
    </w:p>
    <w:p>
      <w:pPr>
        <w:numPr>
          <w:ilvl w:val="0"/>
          <w:numId w:val="1"/>
        </w:numPr>
        <w:spacing w:after="80"/>
      </w:pPr>
      <w:r>
        <w:rPr>
          <w:rFonts w:ascii="Arial" w:cs="Arial" w:eastAsia="Arial" w:hAnsi="Arial"/>
          <w:sz w:val="22"/>
          <w:szCs w:val="22"/>
        </w:rPr>
        <w:t xml:space="preserve">Fields returned: all 10 columns above except TaxPayerEntityType</w:t>
      </w:r>
    </w:p>
    <w:p>
      <w:pPr>
        <w:spacing w:after="120"/>
      </w:pPr>
    </w:p>
    <w:p>
      <w:pPr>
        <w:spacing w:after="120" w:before="0"/>
      </w:pPr>
      <w:r>
        <w:rPr>
          <w:rFonts w:ascii="Arial" w:cs="Arial" w:eastAsia="Arial" w:hAnsi="Arial"/>
          <w:color w:val="000000"/>
          <w:sz w:val="22"/>
          <w:szCs w:val="22"/>
        </w:rPr>
        <w:t xml:space="preserve">Performance note: no search filter + paging disabled = full table scan on every new case creation. Consider adding a search-as-you-type filter or enabling paging if client volumes grow.</w:t>
      </w:r>
    </w:p>
    <w:p>
      <w:pPr>
        <w:spacing w:after="120"/>
      </w:pPr>
    </w:p>
    <w:p>
      <w:pPr>
        <w:pStyle w:val="Heading3"/>
        <w:spacing w:after="100" w:before="180"/>
      </w:pPr>
      <w:r>
        <w:rPr>
          <w:rFonts w:ascii="Arial" w:cs="Arial" w:eastAsia="Arial" w:hAnsi="Arial"/>
          <w:b/>
          <w:bCs/>
          <w:color w:val="2E75B6"/>
          <w:sz w:val="24"/>
          <w:szCs w:val="24"/>
        </w:rPr>
        <w:t xml:space="preserve">Write-back — UpdatePayerRef_Info</w:t>
      </w:r>
    </w:p>
    <w:p>
      <w:pPr>
        <w:spacing w:after="120" w:before="0"/>
      </w:pPr>
      <w:r>
        <w:rPr>
          <w:rFonts w:ascii="Arial" w:cs="Arial" w:eastAsia="Arial" w:hAnsi="Arial"/>
          <w:color w:val="000000"/>
          <w:sz w:val="22"/>
          <w:szCs w:val="22"/>
        </w:rPr>
        <w:t xml:space="preserve">After CheckClientBoxLocation verifies the client's Box folder URL, the system calls UpdatePayerRef_Info (activity on PDS-FW-Tax-Work-TDRouting). This writes updated credentials — the verified Box folder reference or Payer ID — back to the TaxPayerRefData record, keeping it current with any corrections made during the Re-enter URL loop.</w:t>
      </w:r>
    </w:p>
    <w:p>
      <w:pPr>
        <w:spacing w:after="120"/>
      </w:pPr>
    </w:p>
    <w:p>
      <w:pPr>
        <w:pStyle w:val="Heading3"/>
        <w:spacing w:after="100" w:before="180"/>
      </w:pPr>
      <w:r>
        <w:rPr>
          <w:rFonts w:ascii="Arial" w:cs="Arial" w:eastAsia="Arial" w:hAnsi="Arial"/>
          <w:b/>
          <w:bCs/>
          <w:color w:val="2E75B6"/>
          <w:sz w:val="24"/>
          <w:szCs w:val="24"/>
        </w:rPr>
        <w:t xml:space="preserve">Security note — RW Password exposure</w:t>
      </w:r>
    </w:p>
    <w:p>
      <w:pPr>
        <w:spacing w:after="120" w:before="0"/>
      </w:pPr>
      <w:r>
        <w:rPr>
          <w:rFonts w:ascii="Arial" w:cs="Arial" w:eastAsia="Arial" w:hAnsi="Arial"/>
          <w:color w:val="000000"/>
          <w:sz w:val="22"/>
          <w:szCs w:val="22"/>
        </w:rPr>
        <w:t xml:space="preserve">TaxPayerRWPassword is stored as plain text in the reference table and returned as a plain text field in GetTaxPayerDetails. It flows to the case clipboard without masking and is visible to any staff member with case access. Ensure the property is masked in all UI sections and excluded from case history capture.</w:t>
      </w:r>
    </w:p>
    <w:p>
      <w:pPr>
        <w:spacing w:after="120"/>
      </w:pPr>
    </w:p>
    <w:p>
      <w:pPr>
        <w:pStyle w:val="Heading2"/>
        <w:spacing w:after="120" w:before="240"/>
      </w:pPr>
      <w:r>
        <w:rPr>
          <w:rFonts w:ascii="Arial" w:cs="Arial" w:eastAsia="Arial" w:hAnsi="Arial"/>
          <w:b/>
          <w:bCs/>
          <w:color w:val="1F4E79"/>
          <w:sz w:val="26"/>
          <w:szCs w:val="26"/>
        </w:rPr>
        <w:t xml:space="preserve">3.6 Reference Class — TaxEntityList (Entity Reference Table)</w:t>
      </w:r>
    </w:p>
    <w:p>
      <w:pPr>
        <w:spacing w:after="120" w:before="0"/>
      </w:pPr>
      <w:r>
        <w:rPr>
          <w:rFonts w:ascii="Arial" w:cs="Arial" w:eastAsia="Arial" w:hAnsi="Arial"/>
          <w:color w:val="000000"/>
          <w:sz w:val="22"/>
          <w:szCs w:val="22"/>
        </w:rPr>
        <w:t xml:space="preserve">PDS-FW-Tax-Data-TaxEntityList holds the master list of business entities (partnerships, corporations, personal corporations) associated with owner-doctor clients. When a staff member adds a document belonging to an entity on Tab 2, this table provides the searchable entity name dropdown. It is maintained by administrators independently of the case workflow.</w:t>
      </w:r>
    </w:p>
    <w:p>
      <w:pPr>
        <w:spacing w:after="120"/>
      </w:pPr>
    </w:p>
    <w:p>
      <w:pPr>
        <w:pStyle w:val="Heading3"/>
        <w:spacing w:after="100" w:before="180"/>
      </w:pPr>
      <w:r>
        <w:rPr>
          <w:rFonts w:ascii="Arial" w:cs="Arial" w:eastAsia="Arial" w:hAnsi="Arial"/>
          <w:b/>
          <w:bCs/>
          <w:color w:val="2E75B6"/>
          <w:sz w:val="24"/>
          <w:szCs w:val="24"/>
        </w:rPr>
        <w:t xml:space="preserve">Fields stored per entity</w:t>
      </w:r>
    </w:p>
    <w:p>
      <w:pPr>
        <w:spacing w:after="120"/>
      </w:pPr>
    </w:p>
    <w:p>
      <w:pPr>
        <w:pStyle w:val="Heading3"/>
        <w:spacing w:after="100" w:before="180"/>
      </w:pPr>
      <w:r>
        <w:rPr>
          <w:rFonts w:ascii="Arial" w:cs="Arial" w:eastAsia="Arial" w:hAnsi="Arial"/>
          <w:b/>
          <w:bCs/>
          <w:color w:val="2E75B6"/>
          <w:sz w:val="24"/>
          <w:szCs w:val="24"/>
        </w:rPr>
        <w:t xml:space="preserve">How entity data reaches the case — two reports, two purposes</w:t>
      </w:r>
    </w:p>
    <w:p>
      <w:pPr>
        <w:spacing w:after="120" w:before="0"/>
      </w:pPr>
      <w:r>
        <w:rPr>
          <w:rFonts w:ascii="Arial" w:cs="Arial" w:eastAsia="Arial" w:hAnsi="Arial"/>
          <w:color w:val="000000"/>
          <w:sz w:val="22"/>
          <w:szCs w:val="22"/>
        </w:rPr>
        <w:t xml:space="preserve">GetTaxEntityList: the Tab 2 entity dropdown source. Returns all active entities from the standard Pega database, sorted alphabetically by EntityName. No parameters — full active list at once (max 10,000 records, paging disabled). Called from the TaxDocumentCollection section when a staff member selects an Entity Type.</w:t>
      </w:r>
    </w:p>
    <w:p>
      <w:pPr>
        <w:spacing w:after="120"/>
      </w:pPr>
    </w:p>
    <w:p>
      <w:pPr>
        <w:spacing w:after="120" w:before="0"/>
      </w:pPr>
      <w:r>
        <w:rPr>
          <w:rFonts w:ascii="Arial" w:cs="Arial" w:eastAsia="Arial" w:hAnsi="Arial"/>
          <w:color w:val="000000"/>
          <w:sz w:val="22"/>
          <w:szCs w:val="22"/>
        </w:rPr>
        <w:t xml:space="preserve">D_FetchTax_EntityInfo (data page wrapping FetchTax_EntityInfo report): a thread-scoped data page with a single parameter (Oracle_ID). Returns only the EntityName for one specific entity. Called by the PopulateEntity_Name data transform on PDS-FW-Tax-Data-TaxDocument after a document row is saved. The data page never auto-refreshes (pyRefreshStrategy = never) — once loaded for a given OracleID it remains cached for the thread lifetime.</w:t>
      </w:r>
    </w:p>
    <w:p>
      <w:pPr>
        <w:spacing w:after="120"/>
      </w:pPr>
    </w:p>
    <w:p>
      <w:pPr>
        <w:pStyle w:val="Heading3"/>
        <w:spacing w:after="100" w:before="180"/>
      </w:pPr>
      <w:r>
        <w:rPr>
          <w:rFonts w:ascii="Arial" w:cs="Arial" w:eastAsia="Arial" w:hAnsi="Arial"/>
          <w:b/>
          <w:bCs/>
          <w:color w:val="2E75B6"/>
          <w:sz w:val="24"/>
          <w:szCs w:val="24"/>
        </w:rPr>
        <w:t xml:space="preserve">OracleID — the external join key</w:t>
      </w:r>
    </w:p>
    <w:p>
      <w:pPr>
        <w:spacing w:after="120" w:before="0"/>
      </w:pPr>
      <w:r>
        <w:rPr>
          <w:rFonts w:ascii="Arial" w:cs="Arial" w:eastAsia="Arial" w:hAnsi="Arial"/>
          <w:color w:val="000000"/>
          <w:sz w:val="22"/>
          <w:szCs w:val="22"/>
        </w:rPr>
        <w:t xml:space="preserve">OracleID is the sole custom property on this class. It is the primary lookup key across all entity reports and the join between Pega's entity list and the external Oracle master data system. When a staff member selects an entity on Tab 2, the OracleID is stored on the document row. PopulateEntity_Name then resolves the EntityName from it. OracleID also becomes the EntityTypeNumber component in the Box filename.</w:t>
      </w:r>
    </w:p>
    <w:p>
      <w:pPr>
        <w:spacing w:after="120"/>
      </w:pPr>
    </w:p>
    <w:p>
      <w:pPr>
        <w:pStyle w:val="Heading3"/>
        <w:spacing w:after="100" w:before="180"/>
      </w:pPr>
      <w:r>
        <w:rPr>
          <w:rFonts w:ascii="Arial" w:cs="Arial" w:eastAsia="Arial" w:hAnsi="Arial"/>
          <w:b/>
          <w:bCs/>
          <w:color w:val="2E75B6"/>
          <w:sz w:val="24"/>
          <w:szCs w:val="24"/>
        </w:rPr>
        <w:t xml:space="preserve">Entity selection flow on Tab 2</w:t>
      </w:r>
    </w:p>
    <w:p>
      <w:pPr>
        <w:numPr>
          <w:ilvl w:val="0"/>
          <w:numId w:val="1"/>
        </w:numPr>
        <w:spacing w:after="80"/>
      </w:pPr>
      <w:r>
        <w:rPr>
          <w:rFonts w:ascii="Arial" w:cs="Arial" w:eastAsia="Arial" w:hAnsi="Arial"/>
          <w:sz w:val="22"/>
          <w:szCs w:val="22"/>
        </w:rPr>
        <w:t xml:space="preserve">Staff selects Entity Type — GetTaxEntityList fires with no parameters, returning all active entities sorted A-Z</w:t>
      </w:r>
    </w:p>
    <w:p>
      <w:pPr>
        <w:numPr>
          <w:ilvl w:val="0"/>
          <w:numId w:val="1"/>
        </w:numPr>
        <w:spacing w:after="80"/>
      </w:pPr>
      <w:r>
        <w:rPr>
          <w:rFonts w:ascii="Arial" w:cs="Arial" w:eastAsia="Arial" w:hAnsi="Arial"/>
          <w:sz w:val="22"/>
          <w:szCs w:val="22"/>
        </w:rPr>
        <w:t xml:space="preserve">Staff picks an entity name — OracleID stored on the document row</w:t>
      </w:r>
    </w:p>
    <w:p>
      <w:pPr>
        <w:numPr>
          <w:ilvl w:val="0"/>
          <w:numId w:val="1"/>
        </w:numPr>
        <w:spacing w:after="80"/>
      </w:pPr>
      <w:r>
        <w:rPr>
          <w:rFonts w:ascii="Arial" w:cs="Arial" w:eastAsia="Arial" w:hAnsi="Arial"/>
          <w:sz w:val="22"/>
          <w:szCs w:val="22"/>
        </w:rPr>
        <w:t xml:space="preserve">On document row save — D_FetchTax_EntityInfo(OracleID) called by PopulateEntity_Name to resolve and store EntityName</w:t>
      </w:r>
    </w:p>
    <w:p>
      <w:pPr>
        <w:numPr>
          <w:ilvl w:val="0"/>
          <w:numId w:val="1"/>
        </w:numPr>
        <w:spacing w:after="80"/>
      </w:pPr>
      <w:r>
        <w:rPr>
          <w:rFonts w:ascii="Arial" w:cs="Arial" w:eastAsia="Arial" w:hAnsi="Arial"/>
          <w:sz w:val="22"/>
          <w:szCs w:val="22"/>
        </w:rPr>
        <w:t xml:space="preserve">EntityName + OracleID feed into SetIFFileName — Box filename becomes: LastName, FirstName - {OracleID} {EntityName} - {Year} {DocType}.pdf</w:t>
      </w:r>
    </w:p>
    <w:p>
      <w:r>
        <w:br w:type="pag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800"/>
        <w:gridCol w:w="5160"/>
      </w:tblGrid>
      <w:tr>
        <w:tc>
          <w:tcPr>
            <w:tcW w:type="dxa" w:w="2400"/>
            <w:shd w:fill="D6E4F0" w:val="clear"/>
            <w:tcMar>
              <w:top w:type="dxa" w:w="80"/>
              <w:start w:type="dxa" w:w="120"/>
              <w:bottom w:type="dxa" w:w="80"/>
              <w:end w:type="dxa" w:w="120"/>
            </w:tcMar>
          </w:tcPr>
          <w:p>
            <w:r>
              <w:rPr>
                <w:rFonts w:ascii="Arial" w:hAnsi="Arial"/>
                <w:b/>
                <w:bCs/>
                <w:sz w:val="22"/>
              </w:rPr>
              <w:t xml:space="preserve">Field (label)</w:t>
            </w:r>
          </w:p>
        </w:tc>
        <w:tc>
          <w:tcPr>
            <w:tcW w:type="dxa" w:w="1800"/>
            <w:shd w:fill="D6E4F0" w:val="clear"/>
            <w:tcMar>
              <w:top w:type="dxa" w:w="80"/>
              <w:start w:type="dxa" w:w="120"/>
              <w:bottom w:type="dxa" w:w="80"/>
              <w:end w:type="dxa" w:w="120"/>
            </w:tcMar>
          </w:tcPr>
          <w:p>
            <w:r>
              <w:rPr>
                <w:rFonts w:ascii="Arial" w:hAnsi="Arial"/>
                <w:b/>
                <w:bCs/>
                <w:sz w:val="22"/>
              </w:rPr>
              <w:t xml:space="preserve">Property name</w:t>
            </w:r>
          </w:p>
        </w:tc>
        <w:tc>
          <w:tcPr>
            <w:tcW w:type="dxa" w:w="5160"/>
            <w:shd w:fill="D6E4F0" w:val="clear"/>
            <w:tcMar>
              <w:top w:type="dxa" w:w="80"/>
              <w:start w:type="dxa" w:w="120"/>
              <w:bottom w:type="dxa" w:w="80"/>
              <w:end w:type="dxa" w:w="120"/>
            </w:tcMar>
          </w:tcPr>
          <w:p>
            <w:r>
              <w:rPr>
                <w:rFonts w:ascii="Arial" w:hAnsi="Arial"/>
                <w:b/>
                <w:bCs/>
                <w:sz w:val="22"/>
              </w:rPr>
              <w:t xml:space="preserve">How it is used in the workflow</w:t>
            </w:r>
          </w:p>
        </w:tc>
      </w:tr>
      <w:tr>
        <w:tc>
          <w:tcPr>
            <w:tcW w:type="dxa" w:w="2400"/>
            <w:shd w:fill="FFFFFF" w:val="clear"/>
            <w:tcMar>
              <w:top w:type="dxa" w:w="80"/>
              <w:start w:type="dxa" w:w="120"/>
              <w:bottom w:type="dxa" w:w="80"/>
              <w:end w:type="dxa" w:w="120"/>
            </w:tcMar>
          </w:tcPr>
          <w:p>
            <w:r>
              <w:rPr>
                <w:rFonts w:ascii="Arial" w:hAnsi="Arial"/>
                <w:sz w:val="20"/>
              </w:rPr>
              <w:t xml:space="preserve">Client ID</w:t>
            </w:r>
          </w:p>
        </w:tc>
        <w:tc>
          <w:tcPr>
            <w:tcW w:type="dxa" w:w="1800"/>
            <w:shd w:fill="FFFFFF" w:val="clear"/>
            <w:tcMar>
              <w:top w:type="dxa" w:w="80"/>
              <w:start w:type="dxa" w:w="120"/>
              <w:bottom w:type="dxa" w:w="80"/>
              <w:end w:type="dxa" w:w="120"/>
            </w:tcMar>
          </w:tcPr>
          <w:p>
            <w:r>
              <w:rPr>
                <w:rFonts w:ascii="Arial" w:hAnsi="Arial"/>
                <w:sz w:val="20"/>
              </w:rPr>
              <w:t xml:space="preserve">ID</w:t>
            </w:r>
          </w:p>
        </w:tc>
        <w:tc>
          <w:tcPr>
            <w:tcW w:type="dxa" w:w="5160"/>
            <w:shd w:fill="FFFFFF" w:val="clear"/>
            <w:tcMar>
              <w:top w:type="dxa" w:w="80"/>
              <w:start w:type="dxa" w:w="120"/>
              <w:bottom w:type="dxa" w:w="80"/>
              <w:end w:type="dxa" w:w="120"/>
            </w:tcMar>
          </w:tcPr>
          <w:p>
            <w:r>
              <w:rPr>
                <w:rFonts w:ascii="Arial" w:hAnsi="Arial"/>
                <w:sz w:val="20"/>
              </w:rPr>
              <w:t xml:space="preserve">Primary key. Referenced by UpdatePayerRef_Info write-back after Stage 1.</w:t>
            </w:r>
          </w:p>
        </w:tc>
      </w:tr>
      <w:tr>
        <w:tc>
          <w:tcPr>
            <w:tcW w:type="dxa" w:w="2400"/>
            <w:shd w:fill="F2F2F2" w:val="clear"/>
            <w:tcMar>
              <w:top w:type="dxa" w:w="80"/>
              <w:start w:type="dxa" w:w="120"/>
              <w:bottom w:type="dxa" w:w="80"/>
              <w:end w:type="dxa" w:w="120"/>
            </w:tcMar>
          </w:tcPr>
          <w:p>
            <w:r>
              <w:rPr>
                <w:rFonts w:ascii="Arial" w:hAnsi="Arial"/>
                <w:sz w:val="20"/>
              </w:rPr>
              <w:t xml:space="preserve">First Name</w:t>
            </w:r>
          </w:p>
        </w:tc>
        <w:tc>
          <w:tcPr>
            <w:tcW w:type="dxa" w:w="1800"/>
            <w:shd w:fill="F2F2F2" w:val="clear"/>
            <w:tcMar>
              <w:top w:type="dxa" w:w="80"/>
              <w:start w:type="dxa" w:w="120"/>
              <w:bottom w:type="dxa" w:w="80"/>
              <w:end w:type="dxa" w:w="120"/>
            </w:tcMar>
          </w:tcPr>
          <w:p>
            <w:r>
              <w:rPr>
                <w:rFonts w:ascii="Arial" w:hAnsi="Arial"/>
                <w:sz w:val="20"/>
              </w:rPr>
              <w:t xml:space="preserve">FirstName</w:t>
            </w:r>
          </w:p>
        </w:tc>
        <w:tc>
          <w:tcPr>
            <w:tcW w:type="dxa" w:w="5160"/>
            <w:shd w:fill="F2F2F2" w:val="clear"/>
            <w:tcMar>
              <w:top w:type="dxa" w:w="80"/>
              <w:start w:type="dxa" w:w="120"/>
              <w:bottom w:type="dxa" w:w="80"/>
              <w:end w:type="dxa" w:w="120"/>
            </w:tcMar>
          </w:tcPr>
          <w:p>
            <w:r>
              <w:rPr>
                <w:rFonts w:ascii="Arial" w:hAnsi="Arial"/>
                <w:sz w:val="20"/>
              </w:rPr>
              <w:t xml:space="preserve">Auto-populates Tab 1. Used in Box filename construction via SetIFFileName.</w:t>
            </w:r>
          </w:p>
        </w:tc>
      </w:tr>
      <w:tr>
        <w:tc>
          <w:tcPr>
            <w:tcW w:type="dxa" w:w="2400"/>
            <w:shd w:fill="FFFFFF" w:val="clear"/>
            <w:tcMar>
              <w:top w:type="dxa" w:w="80"/>
              <w:start w:type="dxa" w:w="120"/>
              <w:bottom w:type="dxa" w:w="80"/>
              <w:end w:type="dxa" w:w="120"/>
            </w:tcMar>
          </w:tcPr>
          <w:p>
            <w:r>
              <w:rPr>
                <w:rFonts w:ascii="Arial" w:hAnsi="Arial"/>
                <w:sz w:val="20"/>
              </w:rPr>
              <w:t xml:space="preserve">Last Name</w:t>
            </w:r>
          </w:p>
        </w:tc>
        <w:tc>
          <w:tcPr>
            <w:tcW w:type="dxa" w:w="1800"/>
            <w:shd w:fill="FFFFFF" w:val="clear"/>
            <w:tcMar>
              <w:top w:type="dxa" w:w="80"/>
              <w:start w:type="dxa" w:w="120"/>
              <w:bottom w:type="dxa" w:w="80"/>
              <w:end w:type="dxa" w:w="120"/>
            </w:tcMar>
          </w:tcPr>
          <w:p>
            <w:r>
              <w:rPr>
                <w:rFonts w:ascii="Arial" w:hAnsi="Arial"/>
                <w:sz w:val="20"/>
              </w:rPr>
              <w:t xml:space="preserve">LastName</w:t>
            </w:r>
          </w:p>
        </w:tc>
        <w:tc>
          <w:tcPr>
            <w:tcW w:type="dxa" w:w="5160"/>
            <w:shd w:fill="FFFFFF" w:val="clear"/>
            <w:tcMar>
              <w:top w:type="dxa" w:w="80"/>
              <w:start w:type="dxa" w:w="120"/>
              <w:bottom w:type="dxa" w:w="80"/>
              <w:end w:type="dxa" w:w="120"/>
            </w:tcMar>
          </w:tcPr>
          <w:p>
            <w:r>
              <w:rPr>
                <w:rFonts w:ascii="Arial" w:hAnsi="Arial"/>
                <w:sz w:val="20"/>
              </w:rPr>
              <w:t xml:space="preserve">Auto-populates Tab 1. Used in Box filename construction via SetIFFileName.</w:t>
            </w:r>
          </w:p>
        </w:tc>
      </w:tr>
      <w:tr>
        <w:tc>
          <w:tcPr>
            <w:tcW w:type="dxa" w:w="2400"/>
            <w:shd w:fill="F2F2F2" w:val="clear"/>
            <w:tcMar>
              <w:top w:type="dxa" w:w="80"/>
              <w:start w:type="dxa" w:w="120"/>
              <w:bottom w:type="dxa" w:w="80"/>
              <w:end w:type="dxa" w:w="120"/>
            </w:tcMar>
          </w:tcPr>
          <w:p>
            <w:r>
              <w:rPr>
                <w:rFonts w:ascii="Arial" w:hAnsi="Arial"/>
                <w:sz w:val="20"/>
              </w:rPr>
              <w:t xml:space="preserve">Full Name</w:t>
            </w:r>
          </w:p>
        </w:tc>
        <w:tc>
          <w:tcPr>
            <w:tcW w:type="dxa" w:w="1800"/>
            <w:shd w:fill="F2F2F2" w:val="clear"/>
            <w:tcMar>
              <w:top w:type="dxa" w:w="80"/>
              <w:start w:type="dxa" w:w="120"/>
              <w:bottom w:type="dxa" w:w="80"/>
              <w:end w:type="dxa" w:w="120"/>
            </w:tcMar>
          </w:tcPr>
          <w:p>
            <w:r>
              <w:rPr>
                <w:rFonts w:ascii="Arial" w:hAnsi="Arial"/>
                <w:sz w:val="20"/>
              </w:rPr>
              <w:t xml:space="preserve">FullName</w:t>
            </w:r>
          </w:p>
        </w:tc>
        <w:tc>
          <w:tcPr>
            <w:tcW w:type="dxa" w:w="5160"/>
            <w:shd w:fill="F2F2F2" w:val="clear"/>
            <w:tcMar>
              <w:top w:type="dxa" w:w="80"/>
              <w:start w:type="dxa" w:w="120"/>
              <w:bottom w:type="dxa" w:w="80"/>
              <w:end w:type="dxa" w:w="120"/>
            </w:tcMar>
          </w:tcPr>
          <w:p>
            <w:r>
              <w:rPr>
                <w:rFonts w:ascii="Arial" w:hAnsi="Arial"/>
                <w:sz w:val="20"/>
              </w:rPr>
              <w:t xml:space="preserve">Auto-populates Tab 1. Sort key in GetTaxPayerDetails. Shown in dashboards.</w:t>
            </w:r>
          </w:p>
        </w:tc>
      </w:tr>
      <w:tr>
        <w:tc>
          <w:tcPr>
            <w:tcW w:type="dxa" w:w="2400"/>
            <w:shd w:fill="FFFFFF" w:val="clear"/>
            <w:tcMar>
              <w:top w:type="dxa" w:w="80"/>
              <w:start w:type="dxa" w:w="120"/>
              <w:bottom w:type="dxa" w:w="80"/>
              <w:end w:type="dxa" w:w="120"/>
            </w:tcMar>
          </w:tcPr>
          <w:p>
            <w:r>
              <w:rPr>
                <w:rFonts w:ascii="Arial" w:hAnsi="Arial"/>
                <w:sz w:val="20"/>
              </w:rPr>
              <w:t xml:space="preserve">Personal Email</w:t>
            </w:r>
          </w:p>
        </w:tc>
        <w:tc>
          <w:tcPr>
            <w:tcW w:type="dxa" w:w="1800"/>
            <w:shd w:fill="FFFFFF" w:val="clear"/>
            <w:tcMar>
              <w:top w:type="dxa" w:w="80"/>
              <w:start w:type="dxa" w:w="120"/>
              <w:bottom w:type="dxa" w:w="80"/>
              <w:end w:type="dxa" w:w="120"/>
            </w:tcMar>
          </w:tcPr>
          <w:p>
            <w:r>
              <w:rPr>
                <w:rFonts w:ascii="Arial" w:hAnsi="Arial"/>
                <w:sz w:val="20"/>
              </w:rPr>
              <w:t xml:space="preserve">PersonalEmail</w:t>
            </w:r>
          </w:p>
        </w:tc>
        <w:tc>
          <w:tcPr>
            <w:tcW w:type="dxa" w:w="5160"/>
            <w:shd w:fill="FFFFFF" w:val="clear"/>
            <w:tcMar>
              <w:top w:type="dxa" w:w="80"/>
              <w:start w:type="dxa" w:w="120"/>
              <w:bottom w:type="dxa" w:w="80"/>
              <w:end w:type="dxa" w:w="120"/>
            </w:tcMar>
          </w:tcPr>
          <w:p>
            <w:r>
              <w:rPr>
                <w:rFonts w:ascii="Arial" w:hAnsi="Arial"/>
                <w:sz w:val="20"/>
              </w:rPr>
              <w:t xml:space="preserve">Auto-populates Tab 1. Used by ProvideCollaboratorAccess and SendFinalNotification in Stage 3.</w:t>
            </w:r>
          </w:p>
        </w:tc>
      </w:tr>
      <w:tr>
        <w:tc>
          <w:tcPr>
            <w:tcW w:type="dxa" w:w="2400"/>
            <w:shd w:fill="F2F2F2" w:val="clear"/>
            <w:tcMar>
              <w:top w:type="dxa" w:w="80"/>
              <w:start w:type="dxa" w:w="120"/>
              <w:bottom w:type="dxa" w:w="80"/>
              <w:end w:type="dxa" w:w="120"/>
            </w:tcMar>
          </w:tcPr>
          <w:p>
            <w:r>
              <w:rPr>
                <w:rFonts w:ascii="Arial" w:hAnsi="Arial"/>
                <w:sz w:val="20"/>
              </w:rPr>
              <w:t xml:space="preserve">PDS Email</w:t>
            </w:r>
          </w:p>
        </w:tc>
        <w:tc>
          <w:tcPr>
            <w:tcW w:type="dxa" w:w="1800"/>
            <w:shd w:fill="F2F2F2" w:val="clear"/>
            <w:tcMar>
              <w:top w:type="dxa" w:w="80"/>
              <w:start w:type="dxa" w:w="120"/>
              <w:bottom w:type="dxa" w:w="80"/>
              <w:end w:type="dxa" w:w="120"/>
            </w:tcMar>
          </w:tcPr>
          <w:p>
            <w:r>
              <w:rPr>
                <w:rFonts w:ascii="Arial" w:hAnsi="Arial"/>
                <w:sz w:val="20"/>
              </w:rPr>
              <w:t xml:space="preserve">PDSEmail</w:t>
            </w:r>
          </w:p>
        </w:tc>
        <w:tc>
          <w:tcPr>
            <w:tcW w:type="dxa" w:w="5160"/>
            <w:shd w:fill="F2F2F2" w:val="clear"/>
            <w:tcMar>
              <w:top w:type="dxa" w:w="80"/>
              <w:start w:type="dxa" w:w="120"/>
              <w:bottom w:type="dxa" w:w="80"/>
              <w:end w:type="dxa" w:w="120"/>
            </w:tcMar>
          </w:tcPr>
          <w:p>
            <w:r>
              <w:rPr>
                <w:rFonts w:ascii="Arial" w:hAnsi="Arial"/>
                <w:sz w:val="20"/>
              </w:rPr>
              <w:t xml:space="preserve">Auto-populates Tab 1. Used by ProvideCollaboratorAccess and SendFinalNotification in Stage 3.</w:t>
            </w:r>
          </w:p>
        </w:tc>
      </w:tr>
      <w:tr>
        <w:tc>
          <w:tcPr>
            <w:tcW w:type="dxa" w:w="2400"/>
            <w:shd w:fill="FFFFFF" w:val="clear"/>
            <w:tcMar>
              <w:top w:type="dxa" w:w="80"/>
              <w:start w:type="dxa" w:w="120"/>
              <w:bottom w:type="dxa" w:w="80"/>
              <w:end w:type="dxa" w:w="120"/>
            </w:tcMar>
          </w:tcPr>
          <w:p>
            <w:r>
              <w:rPr>
                <w:rFonts w:ascii="Arial" w:hAnsi="Arial"/>
                <w:sz w:val="20"/>
              </w:rPr>
              <w:t xml:space="preserve">External Folder ID</w:t>
            </w:r>
          </w:p>
        </w:tc>
        <w:tc>
          <w:tcPr>
            <w:tcW w:type="dxa" w:w="1800"/>
            <w:shd w:fill="FFFFFF" w:val="clear"/>
            <w:tcMar>
              <w:top w:type="dxa" w:w="80"/>
              <w:start w:type="dxa" w:w="120"/>
              <w:bottom w:type="dxa" w:w="80"/>
              <w:end w:type="dxa" w:w="120"/>
            </w:tcMar>
          </w:tcPr>
          <w:p>
            <w:r>
              <w:rPr>
                <w:rFonts w:ascii="Arial" w:hAnsi="Arial"/>
                <w:sz w:val="20"/>
              </w:rPr>
              <w:t xml:space="preserve">FolderName</w:t>
            </w:r>
          </w:p>
        </w:tc>
        <w:tc>
          <w:tcPr>
            <w:tcW w:type="dxa" w:w="5160"/>
            <w:shd w:fill="FFFFFF" w:val="clear"/>
            <w:tcMar>
              <w:top w:type="dxa" w:w="80"/>
              <w:start w:type="dxa" w:w="120"/>
              <w:bottom w:type="dxa" w:w="80"/>
              <w:end w:type="dxa" w:w="120"/>
            </w:tcMar>
          </w:tcPr>
          <w:p>
            <w:r>
              <w:rPr>
                <w:rFonts w:ascii="Arial" w:hAnsi="Arial"/>
                <w:sz w:val="20"/>
              </w:rPr>
              <w:t xml:space="preserve">The Box folder identifier for the client's external folder. Verified by CheckClientBoxLocation in Stage 1. Note: the property is named FolderName but its label and function are "Client External Folder ID" — the name is misleading.</w:t>
            </w:r>
          </w:p>
        </w:tc>
      </w:tr>
      <w:tr>
        <w:tc>
          <w:tcPr>
            <w:tcW w:type="dxa" w:w="2400"/>
            <w:shd w:fill="F2F2F2" w:val="clear"/>
            <w:tcMar>
              <w:top w:type="dxa" w:w="80"/>
              <w:start w:type="dxa" w:w="120"/>
              <w:bottom w:type="dxa" w:w="80"/>
              <w:end w:type="dxa" w:w="120"/>
            </w:tcMar>
          </w:tcPr>
          <w:p>
            <w:r>
              <w:rPr>
                <w:rFonts w:ascii="Arial" w:hAnsi="Arial"/>
                <w:sz w:val="20"/>
              </w:rPr>
              <w:t xml:space="preserve">Internal Folder Path</w:t>
            </w:r>
          </w:p>
        </w:tc>
        <w:tc>
          <w:tcPr>
            <w:tcW w:type="dxa" w:w="1800"/>
            <w:shd w:fill="F2F2F2" w:val="clear"/>
            <w:tcMar>
              <w:top w:type="dxa" w:w="80"/>
              <w:start w:type="dxa" w:w="120"/>
              <w:bottom w:type="dxa" w:w="80"/>
              <w:end w:type="dxa" w:w="120"/>
            </w:tcMar>
          </w:tcPr>
          <w:p>
            <w:r>
              <w:rPr>
                <w:rFonts w:ascii="Arial" w:hAnsi="Arial"/>
                <w:sz w:val="20"/>
              </w:rPr>
              <w:t xml:space="preserve">InternalFolder</w:t>
            </w:r>
          </w:p>
        </w:tc>
        <w:tc>
          <w:tcPr>
            <w:tcW w:type="dxa" w:w="5160"/>
            <w:shd w:fill="F2F2F2" w:val="clear"/>
            <w:tcMar>
              <w:top w:type="dxa" w:w="80"/>
              <w:start w:type="dxa" w:w="120"/>
              <w:bottom w:type="dxa" w:w="80"/>
              <w:end w:type="dxa" w:w="120"/>
            </w:tcMar>
          </w:tcPr>
          <w:p>
            <w:r>
              <w:rPr>
                <w:rFonts w:ascii="Arial" w:hAnsi="Arial"/>
                <w:sz w:val="20"/>
              </w:rPr>
              <w:t xml:space="preserve">Box folder reference for the client's internal folder. Used by CreateTargetFolders in Stage 2 to provision permanent sub-folders.</w:t>
            </w:r>
          </w:p>
        </w:tc>
      </w:tr>
      <w:tr>
        <w:tc>
          <w:tcPr>
            <w:tcW w:type="dxa" w:w="2400"/>
            <w:shd w:fill="FFFFFF" w:val="clear"/>
            <w:tcMar>
              <w:top w:type="dxa" w:w="80"/>
              <w:start w:type="dxa" w:w="120"/>
              <w:bottom w:type="dxa" w:w="80"/>
              <w:end w:type="dxa" w:w="120"/>
            </w:tcMar>
          </w:tcPr>
          <w:p>
            <w:r>
              <w:rPr>
                <w:rFonts w:ascii="Arial" w:hAnsi="Arial"/>
                <w:sz w:val="20"/>
              </w:rPr>
              <w:t xml:space="preserve">Active Flag</w:t>
            </w:r>
          </w:p>
        </w:tc>
        <w:tc>
          <w:tcPr>
            <w:tcW w:type="dxa" w:w="1800"/>
            <w:shd w:fill="FFFFFF" w:val="clear"/>
            <w:tcMar>
              <w:top w:type="dxa" w:w="80"/>
              <w:start w:type="dxa" w:w="120"/>
              <w:bottom w:type="dxa" w:w="80"/>
              <w:end w:type="dxa" w:w="120"/>
            </w:tcMar>
          </w:tcPr>
          <w:p>
            <w:r>
              <w:rPr>
                <w:rFonts w:ascii="Arial" w:hAnsi="Arial"/>
                <w:sz w:val="20"/>
              </w:rPr>
              <w:t xml:space="preserve">IsActive</w:t>
            </w:r>
          </w:p>
        </w:tc>
        <w:tc>
          <w:tcPr>
            <w:tcW w:type="dxa" w:w="5160"/>
            <w:shd w:fill="FFFFFF" w:val="clear"/>
            <w:tcMar>
              <w:top w:type="dxa" w:w="80"/>
              <w:start w:type="dxa" w:w="120"/>
              <w:bottom w:type="dxa" w:w="80"/>
              <w:end w:type="dxa" w:w="120"/>
            </w:tcMar>
          </w:tcPr>
          <w:p>
            <w:r>
              <w:rPr>
                <w:rFonts w:ascii="Arial" w:hAnsi="Arial"/>
                <w:sz w:val="20"/>
              </w:rPr>
              <w:t xml:space="preserve">Controls visibility. Only records where IsActive = 'YES' are returned to the UI. Inactive clients are suppressed from all dropdowns.</w:t>
            </w:r>
          </w:p>
        </w:tc>
      </w:tr>
      <w:tr>
        <w:tc>
          <w:tcPr>
            <w:tcW w:type="dxa" w:w="2400"/>
            <w:shd w:fill="F2F2F2" w:val="clear"/>
            <w:tcMar>
              <w:top w:type="dxa" w:w="80"/>
              <w:start w:type="dxa" w:w="120"/>
              <w:bottom w:type="dxa" w:w="80"/>
              <w:end w:type="dxa" w:w="120"/>
            </w:tcMar>
          </w:tcPr>
          <w:p>
            <w:r>
              <w:rPr>
                <w:rFonts w:ascii="Arial" w:hAnsi="Arial"/>
                <w:sz w:val="20"/>
              </w:rPr>
              <w:t xml:space="preserve">RW Password</w:t>
            </w:r>
          </w:p>
        </w:tc>
        <w:tc>
          <w:tcPr>
            <w:tcW w:type="dxa" w:w="1800"/>
            <w:shd w:fill="F2F2F2" w:val="clear"/>
            <w:tcMar>
              <w:top w:type="dxa" w:w="80"/>
              <w:start w:type="dxa" w:w="120"/>
              <w:bottom w:type="dxa" w:w="80"/>
              <w:end w:type="dxa" w:w="120"/>
            </w:tcMar>
          </w:tcPr>
          <w:p>
            <w:r>
              <w:rPr>
                <w:rFonts w:ascii="Arial" w:hAnsi="Arial"/>
                <w:sz w:val="20"/>
              </w:rPr>
              <w:t xml:space="preserve">TaxPayerRWPassword</w:t>
            </w:r>
          </w:p>
        </w:tc>
        <w:tc>
          <w:tcPr>
            <w:tcW w:type="dxa" w:w="5160"/>
            <w:shd w:fill="F2F2F2" w:val="clear"/>
            <w:tcMar>
              <w:top w:type="dxa" w:w="80"/>
              <w:start w:type="dxa" w:w="120"/>
              <w:bottom w:type="dxa" w:w="80"/>
              <w:end w:type="dxa" w:w="120"/>
            </w:tcMar>
          </w:tcPr>
          <w:p>
            <w:r>
              <w:rPr>
                <w:rFonts w:ascii="Arial" w:hAnsi="Arial"/>
                <w:sz w:val="20"/>
              </w:rPr>
              <w:t xml:space="preserve">Per-client PDF Read/Write password. Fetched at Tab 1 load. Flows to PDFPasswordProtection in Stage 2 when IsPasswordProtect = true.</w:t>
            </w:r>
          </w:p>
        </w:tc>
      </w:tr>
      <w:tr>
        <w:tc>
          <w:tcPr>
            <w:tcW w:type="dxa" w:w="2400"/>
            <w:shd w:fill="FFFFFF" w:val="clear"/>
            <w:tcMar>
              <w:top w:type="dxa" w:w="80"/>
              <w:start w:type="dxa" w:w="120"/>
              <w:bottom w:type="dxa" w:w="80"/>
              <w:end w:type="dxa" w:w="120"/>
            </w:tcMar>
          </w:tcPr>
          <w:p>
            <w:r>
              <w:rPr>
                <w:rFonts w:ascii="Arial" w:hAnsi="Arial"/>
                <w:sz w:val="20"/>
              </w:rPr>
              <w:t xml:space="preserve">Entity Type</w:t>
            </w:r>
          </w:p>
        </w:tc>
        <w:tc>
          <w:tcPr>
            <w:tcW w:type="dxa" w:w="1800"/>
            <w:shd w:fill="FFFFFF" w:val="clear"/>
            <w:tcMar>
              <w:top w:type="dxa" w:w="80"/>
              <w:start w:type="dxa" w:w="120"/>
              <w:bottom w:type="dxa" w:w="80"/>
              <w:end w:type="dxa" w:w="120"/>
            </w:tcMar>
          </w:tcPr>
          <w:p>
            <w:r>
              <w:rPr>
                <w:rFonts w:ascii="Arial" w:hAnsi="Arial"/>
                <w:sz w:val="20"/>
              </w:rPr>
              <w:t xml:space="preserve">TaxPayerEntityType</w:t>
            </w:r>
          </w:p>
        </w:tc>
        <w:tc>
          <w:tcPr>
            <w:tcW w:type="dxa" w:w="5160"/>
            <w:shd w:fill="FFFFFF" w:val="clear"/>
            <w:tcMar>
              <w:top w:type="dxa" w:w="80"/>
              <w:start w:type="dxa" w:w="120"/>
              <w:bottom w:type="dxa" w:w="80"/>
              <w:end w:type="dxa" w:w="120"/>
            </w:tcMar>
          </w:tcPr>
          <w:p>
            <w:r>
              <w:rPr>
                <w:rFonts w:ascii="Arial" w:hAnsi="Arial"/>
                <w:sz w:val="20"/>
              </w:rPr>
              <w:t xml:space="preserve">Client-level entity classification (e.g. Individual, Partnership). Stored in the reference table but NOT fetched by GetTaxPayerDetails — it does not auto-populate onto cases. Admin visibility only.</w:t>
            </w:r>
          </w:p>
        </w:tc>
      </w:tr>
    </w:tbl>
    <w:tbl>
      <w:tblPr>
        <w:tblW w:type="dxa" w:w="94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200"/>
        <w:gridCol w:w="5000"/>
      </w:tblGrid>
      <w:tr>
        <w:tc>
          <w:tcPr>
            <w:tcW w:type="dxa" w:w="2200"/>
            <w:shd w:fill="D6E4F0" w:val="clear"/>
            <w:tcMar>
              <w:top w:type="dxa" w:w="80"/>
              <w:start w:type="dxa" w:w="120"/>
              <w:bottom w:type="dxa" w:w="80"/>
              <w:end w:type="dxa" w:w="120"/>
            </w:tcMar>
          </w:tcPr>
          <w:p>
            <w:r>
              <w:rPr>
                <w:rFonts w:ascii="Arial" w:hAnsi="Arial"/>
                <w:b/>
                <w:bCs/>
                <w:sz w:val="22"/>
              </w:rPr>
              <w:t xml:space="preserve">Field (label)</w:t>
            </w:r>
          </w:p>
        </w:tc>
        <w:tc>
          <w:tcPr>
            <w:tcW w:type="dxa" w:w="2200"/>
            <w:shd w:fill="D6E4F0" w:val="clear"/>
            <w:tcMar>
              <w:top w:type="dxa" w:w="80"/>
              <w:start w:type="dxa" w:w="120"/>
              <w:bottom w:type="dxa" w:w="80"/>
              <w:end w:type="dxa" w:w="120"/>
            </w:tcMar>
          </w:tcPr>
          <w:p>
            <w:r>
              <w:rPr>
                <w:rFonts w:ascii="Arial" w:hAnsi="Arial"/>
                <w:b/>
                <w:bCs/>
                <w:sz w:val="22"/>
              </w:rPr>
              <w:t xml:space="preserve">Property name</w:t>
            </w:r>
          </w:p>
        </w:tc>
        <w:tc>
          <w:tcPr>
            <w:tcW w:type="dxa" w:w="5000"/>
            <w:shd w:fill="D6E4F0" w:val="clear"/>
            <w:tcMar>
              <w:top w:type="dxa" w:w="80"/>
              <w:start w:type="dxa" w:w="120"/>
              <w:bottom w:type="dxa" w:w="80"/>
              <w:end w:type="dxa" w:w="120"/>
            </w:tcMar>
          </w:tcPr>
          <w:p>
            <w:r>
              <w:rPr>
                <w:rFonts w:ascii="Arial" w:hAnsi="Arial"/>
                <w:b/>
                <w:bCs/>
                <w:sz w:val="22"/>
              </w:rPr>
              <w:t xml:space="preserve">How it is used</w:t>
            </w:r>
          </w:p>
        </w:tc>
      </w:tr>
      <w:tr>
        <w:tc>
          <w:tcPr>
            <w:tcW w:type="dxa" w:w="2200"/>
            <w:shd w:fill="FFFFFF" w:val="clear"/>
            <w:tcMar>
              <w:top w:type="dxa" w:w="80"/>
              <w:start w:type="dxa" w:w="120"/>
              <w:bottom w:type="dxa" w:w="80"/>
              <w:end w:type="dxa" w:w="120"/>
            </w:tcMar>
          </w:tcPr>
          <w:p>
            <w:r>
              <w:rPr>
                <w:rFonts w:ascii="Arial" w:hAnsi="Arial"/>
                <w:sz w:val="20"/>
              </w:rPr>
              <w:t xml:space="preserve">System ID</w:t>
            </w:r>
          </w:p>
        </w:tc>
        <w:tc>
          <w:tcPr>
            <w:tcW w:type="dxa" w:w="2200"/>
            <w:shd w:fill="FFFFFF" w:val="clear"/>
            <w:tcMar>
              <w:top w:type="dxa" w:w="80"/>
              <w:start w:type="dxa" w:w="120"/>
              <w:bottom w:type="dxa" w:w="80"/>
              <w:end w:type="dxa" w:w="120"/>
            </w:tcMar>
          </w:tcPr>
          <w:p>
            <w:r>
              <w:rPr>
                <w:rFonts w:ascii="Arial" w:hAnsi="Arial"/>
                <w:sz w:val="20"/>
              </w:rPr>
              <w:t xml:space="preserve">pzInsKey (system)</w:t>
            </w:r>
          </w:p>
        </w:tc>
        <w:tc>
          <w:tcPr>
            <w:tcW w:type="dxa" w:w="5000"/>
            <w:shd w:fill="FFFFFF" w:val="clear"/>
            <w:tcMar>
              <w:top w:type="dxa" w:w="80"/>
              <w:start w:type="dxa" w:w="120"/>
              <w:bottom w:type="dxa" w:w="80"/>
              <w:end w:type="dxa" w:w="120"/>
            </w:tcMar>
          </w:tcPr>
          <w:p>
            <w:r>
              <w:rPr>
                <w:rFonts w:ascii="Arial" w:hAnsi="Arial"/>
                <w:sz w:val="20"/>
              </w:rPr>
              <w:t xml:space="preserve">System-generated Pega instance key. Used as row key in all reports.</w:t>
            </w:r>
          </w:p>
        </w:tc>
      </w:tr>
      <w:tr>
        <w:tc>
          <w:tcPr>
            <w:tcW w:type="dxa" w:w="2200"/>
            <w:shd w:fill="F2F2F2" w:val="clear"/>
            <w:tcMar>
              <w:top w:type="dxa" w:w="80"/>
              <w:start w:type="dxa" w:w="120"/>
              <w:bottom w:type="dxa" w:w="80"/>
              <w:end w:type="dxa" w:w="120"/>
            </w:tcMar>
          </w:tcPr>
          <w:p>
            <w:r>
              <w:rPr>
                <w:rFonts w:ascii="Arial" w:hAnsi="Arial"/>
                <w:sz w:val="20"/>
              </w:rPr>
              <w:t xml:space="preserve">Oracle ID</w:t>
            </w:r>
          </w:p>
        </w:tc>
        <w:tc>
          <w:tcPr>
            <w:tcW w:type="dxa" w:w="2200"/>
            <w:shd w:fill="F2F2F2" w:val="clear"/>
            <w:tcMar>
              <w:top w:type="dxa" w:w="80"/>
              <w:start w:type="dxa" w:w="120"/>
              <w:bottom w:type="dxa" w:w="80"/>
              <w:end w:type="dxa" w:w="120"/>
            </w:tcMar>
          </w:tcPr>
          <w:p>
            <w:r>
              <w:rPr>
                <w:rFonts w:ascii="Arial" w:hAnsi="Arial"/>
                <w:sz w:val="20"/>
              </w:rPr>
              <w:t xml:space="preserve">OracleID</w:t>
            </w:r>
          </w:p>
        </w:tc>
        <w:tc>
          <w:tcPr>
            <w:tcW w:type="dxa" w:w="5000"/>
            <w:shd w:fill="F2F2F2" w:val="clear"/>
            <w:tcMar>
              <w:top w:type="dxa" w:w="80"/>
              <w:start w:type="dxa" w:w="120"/>
              <w:bottom w:type="dxa" w:w="80"/>
              <w:end w:type="dxa" w:w="120"/>
            </w:tcMar>
          </w:tcPr>
          <w:p>
            <w:r>
              <w:rPr>
                <w:rFonts w:ascii="Arial" w:hAnsi="Arial"/>
                <w:sz w:val="20"/>
              </w:rPr>
              <w:t xml:space="preserve">Foreign key linking this entity to the upstream Oracle master data system. The join key used at document-add time. Also appears in Box filenames as the EntityTypeNumber component.</w:t>
            </w:r>
          </w:p>
        </w:tc>
      </w:tr>
      <w:tr>
        <w:tc>
          <w:tcPr>
            <w:tcW w:type="dxa" w:w="2200"/>
            <w:shd w:fill="FFFFFF" w:val="clear"/>
            <w:tcMar>
              <w:top w:type="dxa" w:w="80"/>
              <w:start w:type="dxa" w:w="120"/>
              <w:bottom w:type="dxa" w:w="80"/>
              <w:end w:type="dxa" w:w="120"/>
            </w:tcMar>
          </w:tcPr>
          <w:p>
            <w:r>
              <w:rPr>
                <w:rFonts w:ascii="Arial" w:hAnsi="Arial"/>
                <w:sz w:val="20"/>
              </w:rPr>
              <w:t xml:space="preserve">Entity Name</w:t>
            </w:r>
          </w:p>
        </w:tc>
        <w:tc>
          <w:tcPr>
            <w:tcW w:type="dxa" w:w="2200"/>
            <w:shd w:fill="FFFFFF" w:val="clear"/>
            <w:tcMar>
              <w:top w:type="dxa" w:w="80"/>
              <w:start w:type="dxa" w:w="120"/>
              <w:bottom w:type="dxa" w:w="80"/>
              <w:end w:type="dxa" w:w="120"/>
            </w:tcMar>
          </w:tcPr>
          <w:p>
            <w:r>
              <w:rPr>
                <w:rFonts w:ascii="Arial" w:hAnsi="Arial"/>
                <w:sz w:val="20"/>
              </w:rPr>
              <w:t xml:space="preserve">EntityName</w:t>
            </w:r>
          </w:p>
        </w:tc>
        <w:tc>
          <w:tcPr>
            <w:tcW w:type="dxa" w:w="5000"/>
            <w:shd w:fill="FFFFFF" w:val="clear"/>
            <w:tcMar>
              <w:top w:type="dxa" w:w="80"/>
              <w:start w:type="dxa" w:w="120"/>
              <w:bottom w:type="dxa" w:w="80"/>
              <w:end w:type="dxa" w:w="120"/>
            </w:tcMar>
          </w:tcPr>
          <w:p>
            <w:r>
              <w:rPr>
                <w:rFonts w:ascii="Arial" w:hAnsi="Arial"/>
                <w:sz w:val="20"/>
              </w:rPr>
              <w:t xml:space="preserve">Display name (e.g. 'Oakwood Medical Partners LLC'). Shown in the dropdown. Embedded in Box filenames via SetIFFileName.</w:t>
            </w:r>
          </w:p>
        </w:tc>
      </w:tr>
      <w:tr>
        <w:tc>
          <w:tcPr>
            <w:tcW w:type="dxa" w:w="2200"/>
            <w:shd w:fill="F2F2F2" w:val="clear"/>
            <w:tcMar>
              <w:top w:type="dxa" w:w="80"/>
              <w:start w:type="dxa" w:w="120"/>
              <w:bottom w:type="dxa" w:w="80"/>
              <w:end w:type="dxa" w:w="120"/>
            </w:tcMar>
          </w:tcPr>
          <w:p>
            <w:r>
              <w:rPr>
                <w:rFonts w:ascii="Arial" w:hAnsi="Arial"/>
                <w:sz w:val="20"/>
              </w:rPr>
              <w:t xml:space="preserve">Active Flag</w:t>
            </w:r>
          </w:p>
        </w:tc>
        <w:tc>
          <w:tcPr>
            <w:tcW w:type="dxa" w:w="2200"/>
            <w:shd w:fill="F2F2F2" w:val="clear"/>
            <w:tcMar>
              <w:top w:type="dxa" w:w="80"/>
              <w:start w:type="dxa" w:w="120"/>
              <w:bottom w:type="dxa" w:w="80"/>
              <w:end w:type="dxa" w:w="120"/>
            </w:tcMar>
          </w:tcPr>
          <w:p>
            <w:r>
              <w:rPr>
                <w:rFonts w:ascii="Arial" w:hAnsi="Arial"/>
                <w:sz w:val="20"/>
              </w:rPr>
              <w:t xml:space="preserve">IsActive</w:t>
            </w:r>
          </w:p>
        </w:tc>
        <w:tc>
          <w:tcPr>
            <w:tcW w:type="dxa" w:w="5000"/>
            <w:shd w:fill="F2F2F2" w:val="clear"/>
            <w:tcMar>
              <w:top w:type="dxa" w:w="80"/>
              <w:start w:type="dxa" w:w="120"/>
              <w:bottom w:type="dxa" w:w="80"/>
              <w:end w:type="dxa" w:w="120"/>
            </w:tcMar>
          </w:tcPr>
          <w:p>
            <w:r>
              <w:rPr>
                <w:rFonts w:ascii="Arial" w:hAnsi="Arial"/>
                <w:sz w:val="20"/>
              </w:rPr>
              <w:t xml:space="preserve">Controls visibility. Only IsActive = 'YES' records returned to the entity dropdown. Inactive entities suppressed.</w:t>
            </w:r>
          </w:p>
        </w:tc>
      </w:tr>
    </w:tbl>
    <w:p>
      <w:pPr>
        <w:pStyle w:val="Heading1"/>
        <w:spacing w:after="160" w:before="360"/>
      </w:pPr>
      <w:r>
        <w:rPr>
          <w:rFonts w:ascii="Arial" w:cs="Arial" w:eastAsia="Arial" w:hAnsi="Arial"/>
          <w:b/>
          <w:bCs/>
          <w:color w:val="1F4E79"/>
          <w:sz w:val="32"/>
          <w:szCs w:val="32"/>
        </w:rPr>
        <w:t xml:space="preserve">4. Application State Machine</w:t>
      </w:r>
    </w:p>
    <w:p>
      <w:pPr>
        <w:pStyle w:val="Heading2"/>
        <w:spacing w:after="120" w:before="240"/>
      </w:pPr>
      <w:r>
        <w:rPr>
          <w:rFonts w:ascii="Arial" w:cs="Arial" w:eastAsia="Arial" w:hAnsi="Arial"/>
          <w:b/>
          <w:bCs/>
          <w:color w:val="1F4E79"/>
          <w:sz w:val="26"/>
          <w:szCs w:val="26"/>
        </w:rPr>
        <w:t xml:space="preserve">4.1 Stage Overview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700"/>
        <w:gridCol w:w="2600"/>
        <w:gridCol w:w="126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Stage</w:t>
            </w:r>
          </w:p>
        </w:tc>
        <w:tc>
          <w:tcPr>
            <w:tcW w:type="dxa" w:w="22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Name</w:t>
            </w:r>
          </w:p>
        </w:tc>
        <w:tc>
          <w:tcPr>
            <w:tcW w:type="dxa" w:w="17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Type</w:t>
            </w:r>
          </w:p>
        </w:tc>
        <w:tc>
          <w:tcPr>
            <w:tcW w:type="dxa" w:w="26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Trigger</w:t>
            </w:r>
          </w:p>
        </w:tc>
        <w:tc>
          <w:tcPr>
            <w:tcW w:type="dxa" w:w="12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Terminal?</w:t>
            </w:r>
          </w:p>
        </w:tc>
      </w:tr>
      <w:tr>
        <w:tc>
          <w:tcPr>
            <w:tcW w:type="dxa" w:w="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Collect Client Info</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User interaction</w:t>
            </w:r>
          </w:p>
        </w:tc>
        <w:tc>
          <w:tcPr>
            <w:tcW w:type="dxa" w:w="2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Case created</w:t>
            </w:r>
          </w:p>
        </w:tc>
        <w:tc>
          <w:tcPr>
            <w:tcW w:type="dxa" w:w="12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PDF Processing</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Automated</w:t>
            </w:r>
          </w:p>
        </w:tc>
        <w:tc>
          <w:tcPr>
            <w:tcW w:type="dxa" w:w="2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Confirmation Screen submitted</w:t>
            </w:r>
          </w:p>
        </w:tc>
        <w:tc>
          <w:tcPr>
            <w:tcW w:type="dxa" w:w="12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Clean Temp Folder</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Automated</w:t>
            </w:r>
          </w:p>
        </w:tc>
        <w:tc>
          <w:tcPr>
            <w:tcW w:type="dxa" w:w="2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All file moves complete</w:t>
            </w:r>
          </w:p>
        </w:tc>
        <w:tc>
          <w:tcPr>
            <w:tcW w:type="dxa" w:w="12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r>
      <w:tr>
        <w:tc>
          <w:tcPr>
            <w:tcW w:type="dxa" w:w="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Resolution</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Terminal</w:t>
            </w:r>
          </w:p>
        </w:tc>
        <w:tc>
          <w:tcPr>
            <w:tcW w:type="dxa" w:w="2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Temp folder deleted</w:t>
            </w:r>
          </w:p>
        </w:tc>
        <w:tc>
          <w:tcPr>
            <w:tcW w:type="dxa" w:w="12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r>
    </w:tbl>
    <w:p>
      <w:pPr>
        <w:spacing w:after="120"/>
      </w:pPr>
    </w:p>
    <w:p>
      <w:pPr>
        <w:pStyle w:val="Heading2"/>
        <w:spacing w:after="120" w:before="240"/>
      </w:pPr>
      <w:r>
        <w:rPr>
          <w:rFonts w:ascii="Arial" w:cs="Arial" w:eastAsia="Arial" w:hAnsi="Arial"/>
          <w:b/>
          <w:bCs/>
          <w:color w:val="1F4E79"/>
          <w:sz w:val="26"/>
          <w:szCs w:val="26"/>
        </w:rPr>
        <w:t xml:space="preserve">4.2 State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400"/>
        <w:gridCol w:w="2360"/>
      </w:tblGrid>
      <w:tr>
        <w:trPr>
          <w:tblHeader/>
        </w:trPr>
        <w:tc>
          <w:tcPr>
            <w:tcW w:type="dxa" w:w="21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From</w:t>
            </w:r>
          </w:p>
        </w:tc>
        <w:tc>
          <w:tcPr>
            <w:tcW w:type="dxa" w:w="25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Trigger</w:t>
            </w:r>
          </w:p>
        </w:tc>
        <w:tc>
          <w:tcPr>
            <w:tcW w:type="dxa" w:w="24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Condition</w:t>
            </w:r>
          </w:p>
        </w:tc>
        <w:tc>
          <w:tcPr>
            <w:tcW w:type="dxa" w:w="2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To</w:t>
            </w:r>
          </w:p>
        </w:tc>
      </w:tr>
      <w:tr>
        <w:tc>
          <w:tcPr>
            <w:tcW w:type="dxa" w:w="21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(none)</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Staff creates record</w:t>
            </w:r>
          </w:p>
        </w:tc>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Collect Client Info</w:t>
            </w:r>
          </w:p>
        </w:tc>
      </w:tr>
      <w:tr>
        <w:tc>
          <w:tcPr>
            <w:tcW w:type="dxa" w:w="2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Collect Client Info</w:t>
            </w:r>
          </w:p>
        </w:tc>
        <w:tc>
          <w:tcPr>
            <w:tcW w:type="dxa" w:w="2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Staff submits Confirmation Screen</w:t>
            </w:r>
          </w:p>
        </w:tc>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Box folder URL verified</w:t>
            </w:r>
          </w:p>
        </w:tc>
        <w:tc>
          <w:tcPr>
            <w:tcW w:type="dxa" w:w="2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PDF Processing</w:t>
            </w:r>
          </w:p>
        </w:tc>
      </w:tr>
      <w:tr>
        <w:tc>
          <w:tcPr>
            <w:tcW w:type="dxa" w:w="21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Collect Client Info</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Staff clicks Re-enter URL</w:t>
            </w:r>
          </w:p>
        </w:tc>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URL not found</w:t>
            </w:r>
          </w:p>
        </w:tc>
        <w:tc>
          <w:tcPr>
            <w:tcW w:type="dxa" w:w="2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Collect Client Info (retry)</w:t>
            </w:r>
          </w:p>
        </w:tc>
      </w:tr>
      <w:tr>
        <w:tc>
          <w:tcPr>
            <w:tcW w:type="dxa" w:w="2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PDF Processing</w:t>
            </w:r>
          </w:p>
        </w:tc>
        <w:tc>
          <w:tcPr>
            <w:tcW w:type="dxa" w:w="2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System completes file moves</w:t>
            </w:r>
          </w:p>
        </w:tc>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All files processed successfully</w:t>
            </w:r>
          </w:p>
        </w:tc>
        <w:tc>
          <w:tcPr>
            <w:tcW w:type="dxa" w:w="2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Clean Temp Folder</w:t>
            </w:r>
          </w:p>
        </w:tc>
      </w:tr>
      <w:tr>
        <w:tc>
          <w:tcPr>
            <w:tcW w:type="dxa" w:w="21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PDF Processing</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System detects failure</w:t>
            </w:r>
          </w:p>
        </w:tc>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File transfer error</w:t>
            </w:r>
          </w:p>
        </w:tc>
        <w:tc>
          <w:tcPr>
            <w:tcW w:type="dxa" w:w="2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Exception queue (staff action required)</w:t>
            </w:r>
          </w:p>
        </w:tc>
      </w:tr>
      <w:tr>
        <w:tc>
          <w:tcPr>
            <w:tcW w:type="dxa" w:w="2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Clean Temp Folder</w:t>
            </w:r>
          </w:p>
        </w:tc>
        <w:tc>
          <w:tcPr>
            <w:tcW w:type="dxa" w:w="2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System deletes temp folder</w:t>
            </w:r>
          </w:p>
        </w:tc>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Temp folder emptied</w:t>
            </w:r>
          </w:p>
        </w:tc>
        <w:tc>
          <w:tcPr>
            <w:tcW w:type="dxa" w:w="2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Resolution</w:t>
            </w:r>
          </w:p>
        </w:tc>
      </w:tr>
      <w:tr>
        <w:tc>
          <w:tcPr>
            <w:tcW w:type="dxa" w:w="21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Any stage</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Admin selects Cancel/Withdrawal</w:t>
            </w:r>
          </w:p>
        </w:tc>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Admin role required</w:t>
            </w:r>
          </w:p>
        </w:tc>
        <w:tc>
          <w:tcPr>
            <w:tcW w:type="dxa" w:w="2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Resolved-Cancelled (hard close)</w:t>
            </w:r>
          </w:p>
        </w:tc>
      </w:tr>
    </w:tbl>
    <w:p>
      <w:r>
        <w:br w:type="page"/>
      </w:r>
    </w:p>
    <w:p>
      <w:pPr>
        <w:pStyle w:val="Heading1"/>
        <w:spacing w:after="160" w:before="360"/>
      </w:pPr>
      <w:r>
        <w:rPr>
          <w:rFonts w:ascii="Arial" w:cs="Arial" w:eastAsia="Arial" w:hAnsi="Arial"/>
          <w:b/>
          <w:bCs/>
          <w:color w:val="1F4E79"/>
          <w:sz w:val="32"/>
          <w:szCs w:val="32"/>
        </w:rPr>
        <w:t xml:space="preserve">5. Stage 1 — Collect Client Info</w:t>
      </w:r>
    </w:p>
    <w:p>
      <w:pPr>
        <w:pStyle w:val="Heading2"/>
        <w:spacing w:after="120" w:before="240"/>
      </w:pPr>
      <w:r>
        <w:rPr>
          <w:rFonts w:ascii="Arial" w:cs="Arial" w:eastAsia="Arial" w:hAnsi="Arial"/>
          <w:b/>
          <w:bCs/>
          <w:color w:val="1F4E79"/>
          <w:sz w:val="26"/>
          <w:szCs w:val="26"/>
        </w:rPr>
        <w:t xml:space="preserve">5.1 Business Purpose</w:t>
      </w:r>
    </w:p>
    <w:p>
      <w:pPr>
        <w:spacing w:after="120" w:before="0"/>
      </w:pPr>
      <w:r>
        <w:rPr>
          <w:rFonts w:ascii="Arial" w:cs="Arial" w:eastAsia="Arial" w:hAnsi="Arial"/>
          <w:b w:val="false"/>
          <w:bCs w:val="false"/>
          <w:color w:val="000000"/>
          <w:sz w:val="22"/>
          <w:szCs w:val="22"/>
        </w:rPr>
        <w:t xml:space="preserve">The staff member identifies the client and specifies which documents are being routed. The system automatically creates a temporary staging folder in Box to hold the documents during processing.</w:t>
      </w:r>
    </w:p>
    <w:p>
      <w:pPr>
        <w:pStyle w:val="Heading2"/>
        <w:spacing w:after="120" w:before="240"/>
      </w:pPr>
      <w:r>
        <w:rPr>
          <w:rFonts w:ascii="Arial" w:cs="Arial" w:eastAsia="Arial" w:hAnsi="Arial"/>
          <w:b/>
          <w:bCs/>
          <w:color w:val="1F4E79"/>
          <w:sz w:val="26"/>
          <w:szCs w:val="26"/>
        </w:rPr>
        <w:t xml:space="preserve">5.2 Automated Actions on Stage Entry</w:t>
      </w:r>
    </w:p>
    <w:p>
      <w:pPr>
        <w:spacing w:after="120" w:before="0"/>
      </w:pPr>
      <w:r>
        <w:rPr>
          <w:rFonts w:ascii="Arial" w:cs="Arial" w:eastAsia="Arial" w:hAnsi="Arial"/>
          <w:b w:val="false"/>
          <w:bCs w:val="false"/>
          <w:color w:val="000000"/>
          <w:sz w:val="22"/>
          <w:szCs w:val="22"/>
        </w:rPr>
        <w:t xml:space="preserve">When a new routing record is created, the system immediately and automatically:</w:t>
      </w:r>
    </w:p>
    <w:p>
      <w:pPr>
        <w:pStyle w:val="ListParagraph"/>
        <w:numPr>
          <w:ilvl w:val="0"/>
          <w:numId w:val="2"/>
        </w:numPr>
        <w:spacing w:after="80"/>
      </w:pPr>
      <w:r>
        <w:rPr>
          <w:rFonts w:ascii="Arial" w:cs="Arial" w:eastAsia="Arial" w:hAnsi="Arial"/>
          <w:sz w:val="22"/>
          <w:szCs w:val="22"/>
        </w:rPr>
        <w:t xml:space="preserve">Creates a temporary staging folder in Box via API call</w:t>
      </w:r>
    </w:p>
    <w:p>
      <w:pPr>
        <w:pStyle w:val="ListParagraph"/>
        <w:numPr>
          <w:ilvl w:val="0"/>
          <w:numId w:val="2"/>
        </w:numPr>
        <w:spacing w:after="80"/>
      </w:pPr>
      <w:r>
        <w:rPr>
          <w:rFonts w:ascii="Arial" w:cs="Arial" w:eastAsia="Arial" w:hAnsi="Arial"/>
          <w:sz w:val="22"/>
          <w:szCs w:val="22"/>
        </w:rPr>
        <w:t xml:space="preserve">Checks whether the temp folder was successfully created</w:t>
      </w:r>
    </w:p>
    <w:p>
      <w:pPr>
        <w:pStyle w:val="ListParagraph"/>
        <w:numPr>
          <w:ilvl w:val="0"/>
          <w:numId w:val="2"/>
        </w:numPr>
        <w:spacing w:after="80"/>
      </w:pPr>
      <w:r>
        <w:rPr>
          <w:rFonts w:ascii="Arial" w:cs="Arial" w:eastAsia="Arial" w:hAnsi="Arial"/>
          <w:sz w:val="22"/>
          <w:szCs w:val="22"/>
        </w:rPr>
        <w:t xml:space="preserve">If successful → opens the Taxpayer Information form for the staff member</w:t>
      </w:r>
    </w:p>
    <w:p>
      <w:pPr>
        <w:pStyle w:val="ListParagraph"/>
        <w:numPr>
          <w:ilvl w:val="0"/>
          <w:numId w:val="2"/>
        </w:numPr>
        <w:spacing w:after="80"/>
      </w:pPr>
      <w:r>
        <w:rPr>
          <w:rFonts w:ascii="Arial" w:cs="Arial" w:eastAsia="Arial" w:hAnsi="Arial"/>
          <w:sz w:val="22"/>
          <w:szCs w:val="22"/>
        </w:rPr>
        <w:t xml:space="preserve">If failed → routes the record to the exception queue and sends an exception notification email</w:t>
      </w:r>
    </w:p>
    <w:p>
      <w:pPr>
        <w:spacing w:after="120"/>
      </w:pPr>
    </w:p>
    <w:p>
      <w:pPr>
        <w:pStyle w:val="Heading2"/>
        <w:spacing w:after="120" w:before="240"/>
      </w:pPr>
      <w:r>
        <w:rPr>
          <w:rFonts w:ascii="Arial" w:cs="Arial" w:eastAsia="Arial" w:hAnsi="Arial"/>
          <w:b/>
          <w:bCs/>
          <w:color w:val="1F4E79"/>
          <w:sz w:val="26"/>
          <w:szCs w:val="26"/>
        </w:rPr>
        <w:t xml:space="preserve">5.3 Exception Path — Temp Folder Creation Failure</w:t>
      </w:r>
    </w:p>
    <w:p>
      <w:pPr>
        <w:spacing w:after="120" w:before="0"/>
      </w:pPr>
      <w:r>
        <w:rPr>
          <w:rFonts w:ascii="Arial" w:cs="Arial" w:eastAsia="Arial" w:hAnsi="Arial"/>
          <w:b w:val="false"/>
          <w:bCs w:val="false"/>
          <w:color w:val="000000"/>
          <w:sz w:val="22"/>
          <w:szCs w:val="22"/>
        </w:rPr>
        <w:t xml:space="preserve">If the temp folder cannot be created in Box, the record is placed in a shared exception queue visible to all staff. An SLA timer begins. A staff member opens the record from the exception queue and clicks Process Exception Queue to retry temp folder creation. This loop continues until the folder is successfully created.</w:t>
      </w:r>
    </w:p>
    <w:p>
      <w:pPr>
        <w:pStyle w:val="Heading2"/>
        <w:spacing w:after="120" w:before="240"/>
      </w:pPr>
      <w:r>
        <w:rPr>
          <w:rFonts w:ascii="Arial" w:cs="Arial" w:eastAsia="Arial" w:hAnsi="Arial"/>
          <w:b/>
          <w:bCs/>
          <w:color w:val="1F4E79"/>
          <w:sz w:val="26"/>
          <w:szCs w:val="26"/>
        </w:rPr>
        <w:t xml:space="preserve">5.4 Form: Tab 1 — Taxpayer Details</w:t>
      </w:r>
    </w:p>
    <w:p>
      <w:pPr>
        <w:spacing w:after="120" w:before="0"/>
      </w:pPr>
      <w:r>
        <w:rPr>
          <w:rFonts w:ascii="Arial" w:cs="Arial" w:eastAsia="Arial" w:hAnsi="Arial"/>
          <w:b w:val="false"/>
          <w:bCs w:val="false"/>
          <w:color w:val="000000"/>
          <w:sz w:val="22"/>
          <w:szCs w:val="22"/>
        </w:rPr>
        <w:t xml:space="preserve">The staff member searches for a client from the reference database. All fields auto-populate from reference data when a client is selected — no manual typing of 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33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Field</w:t>
            </w:r>
          </w:p>
        </w:tc>
        <w:tc>
          <w:tcPr>
            <w:tcW w:type="dxa" w:w="17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Control Type</w:t>
            </w:r>
          </w:p>
        </w:tc>
        <w:tc>
          <w:tcPr>
            <w:tcW w:type="dxa" w:w="19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Editable</w:t>
            </w:r>
          </w:p>
        </w:tc>
        <w:tc>
          <w:tcPr>
            <w:tcW w:type="dxa" w:w="3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First Name</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reference database</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Last Name</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reference database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Full Name</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reference database</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Office Location</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Dropdown</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reference database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PDS Email</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Email</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reference database</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Personal Email</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Email</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reference database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Additional Email</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Email</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Editable</w:t>
            </w:r>
          </w:p>
        </w:tc>
        <w:tc>
          <w:tcPr>
            <w:tcW w:type="dxa" w:w="3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Staff-entered</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Send Notification</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 / No</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Editable</w:t>
            </w:r>
          </w:p>
        </w:tc>
        <w:tc>
          <w:tcPr>
            <w:tcW w:type="dxa" w:w="3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Staff choice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Internal Box Folder</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reference database</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Folder Name</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reference database</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Read/Write Password</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Read-only after lookup</w:t>
            </w:r>
          </w:p>
        </w:tc>
        <w:tc>
          <w:tcPr>
            <w:tcW w:type="dxa" w:w="3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reference database</w:t>
            </w:r>
          </w:p>
        </w:tc>
      </w:tr>
    </w:tbl>
    <w:p>
      <w:pPr>
        <w:spacing w:after="120"/>
      </w:pPr>
    </w:p>
    <w:p>
      <w:pPr>
        <w:pStyle w:val="Heading2"/>
        <w:spacing w:after="120" w:before="240"/>
      </w:pPr>
      <w:r>
        <w:rPr>
          <w:rFonts w:ascii="Arial" w:cs="Arial" w:eastAsia="Arial" w:hAnsi="Arial"/>
          <w:b/>
          <w:bCs/>
          <w:color w:val="1F4E79"/>
          <w:sz w:val="26"/>
          <w:szCs w:val="26"/>
        </w:rPr>
        <w:t xml:space="preserve">5.5 Form: Tab 2 — Tax Document Collection</w:t>
      </w:r>
    </w:p>
    <w:p>
      <w:pPr>
        <w:spacing w:after="120" w:before="0"/>
      </w:pPr>
      <w:r>
        <w:rPr>
          <w:rFonts w:ascii="Arial" w:cs="Arial" w:eastAsia="Arial" w:hAnsi="Arial"/>
          <w:b w:val="false"/>
          <w:bCs w:val="false"/>
          <w:color w:val="000000"/>
          <w:sz w:val="22"/>
          <w:szCs w:val="22"/>
        </w:rPr>
        <w:t xml:space="preserve">The staff member adds one or more documents to the record. Each document is a row in a list. A duplicate check runs each time a document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500"/>
        <w:gridCol w:w="29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Field</w:t>
            </w:r>
          </w:p>
        </w:tc>
        <w:tc>
          <w:tcPr>
            <w:tcW w:type="dxa" w:w="17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Control Type</w:t>
            </w:r>
          </w:p>
        </w:tc>
        <w:tc>
          <w:tcPr>
            <w:tcW w:type="dxa" w:w="25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Visibility</w:t>
            </w:r>
          </w:p>
        </w:tc>
        <w:tc>
          <w:tcPr>
            <w:tcW w:type="dxa" w:w="29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Document Type</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Dropdown</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 visible</w:t>
            </w:r>
          </w:p>
        </w:tc>
        <w:tc>
          <w:tcPr>
            <w:tcW w:type="dxa" w:w="29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Drives routing and conditional fields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Document Year</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Dropdown</w:t>
            </w:r>
          </w:p>
        </w:tc>
        <w:tc>
          <w:tcPr>
            <w:tcW w:type="dxa" w:w="2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Always visible</w:t>
            </w:r>
          </w:p>
        </w:tc>
        <w:tc>
          <w:tcPr>
            <w:tcW w:type="dxa" w:w="29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Tax year for the document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Document Name</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Text input</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 visible</w:t>
            </w:r>
          </w:p>
        </w:tc>
        <w:tc>
          <w:tcPr>
            <w:tcW w:type="dxa" w:w="29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File or document name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Entity Type</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Dropdown</w:t>
            </w:r>
          </w:p>
        </w:tc>
        <w:tc>
          <w:tcPr>
            <w:tcW w:type="dxa" w:w="2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When document belongs to an entity</w:t>
            </w:r>
          </w:p>
        </w:tc>
        <w:tc>
          <w:tcPr>
            <w:tcW w:type="dxa" w:w="29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Determines entity lookup visibility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Entity Name</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Dropdown (lookup)</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When Entity Type is selected</w:t>
            </w:r>
          </w:p>
        </w:tc>
        <w:tc>
          <w:tcPr>
            <w:tcW w:type="dxa" w:w="29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From entity reference 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Entity Type Number</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When Entity Type is selected</w:t>
            </w:r>
          </w:p>
        </w:tc>
        <w:tc>
          <w:tcPr>
            <w:tcW w:type="dxa" w:w="29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Auto-populated from entity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Is Password Protected</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Checkbox</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 visible</w:t>
            </w:r>
          </w:p>
        </w:tc>
        <w:tc>
          <w:tcPr>
            <w:tcW w:type="dxa" w:w="29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Enables password field if checked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Attachment (PDF)</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File upload</w:t>
            </w:r>
          </w:p>
        </w:tc>
        <w:tc>
          <w:tcPr>
            <w:tcW w:type="dxa" w:w="2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Always visible</w:t>
            </w:r>
          </w:p>
        </w:tc>
        <w:tc>
          <w:tcPr>
            <w:tcW w:type="dxa" w:w="29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The document file to upload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K-1 Attachments</w:t>
            </w:r>
          </w:p>
        </w:tc>
        <w:tc>
          <w:tcPr>
            <w:tcW w:type="dxa" w:w="1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File list</w:t>
            </w:r>
          </w:p>
        </w:tc>
        <w:tc>
          <w:tcPr>
            <w:tcW w:type="dxa" w:w="25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K-1 and Draft K-1 types only</w:t>
            </w:r>
          </w:p>
        </w:tc>
        <w:tc>
          <w:tcPr>
            <w:tcW w:type="dxa" w:w="29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Additional K-1 files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Form 8308 Attachments</w:t>
            </w:r>
          </w:p>
        </w:tc>
        <w:tc>
          <w:tcPr>
            <w:tcW w:type="dxa" w:w="1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File list</w:t>
            </w:r>
          </w:p>
        </w:tc>
        <w:tc>
          <w:tcPr>
            <w:tcW w:type="dxa" w:w="25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Form 8308 type only</w:t>
            </w:r>
          </w:p>
        </w:tc>
        <w:tc>
          <w:tcPr>
            <w:tcW w:type="dxa" w:w="29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Additional Form 8308 files</w:t>
            </w:r>
          </w:p>
        </w:tc>
      </w:tr>
    </w:tbl>
    <w:p>
      <w:pPr>
        <w:spacing w:after="120"/>
      </w:pPr>
    </w:p>
    <w:p>
      <w:pPr>
        <w:pStyle w:val="Heading2"/>
        <w:spacing w:after="120" w:before="240"/>
      </w:pPr>
      <w:r>
        <w:rPr>
          <w:rFonts w:ascii="Arial" w:cs="Arial" w:eastAsia="Arial" w:hAnsi="Arial"/>
          <w:b/>
          <w:bCs/>
          <w:color w:val="1F4E79"/>
          <w:sz w:val="26"/>
          <w:szCs w:val="26"/>
        </w:rPr>
        <w:t xml:space="preserve">5.5a Document Validation Rules</w:t>
      </w:r>
    </w:p>
    <w:p>
      <w:pPr>
        <w:spacing w:after="120" w:before="0"/>
      </w:pPr>
      <w:r>
        <w:rPr>
          <w:rFonts w:ascii="Arial" w:cs="Arial" w:eastAsia="Arial" w:hAnsi="Arial"/>
          <w:color w:val="000000"/>
          <w:sz w:val="22"/>
          <w:szCs w:val="22"/>
        </w:rPr>
        <w:t xml:space="preserve">The following validation rules apply automatically when documents are added to a routing record:</w:t>
      </w:r>
    </w:p>
    <w:p>
      <w:pPr>
        <w:spacing w:after="120"/>
      </w:pPr>
    </w:p>
    <w:p>
      <w:pPr>
        <w:spacing w:after="120" w:before="0"/>
      </w:pPr>
      <w:r>
        <w:rPr>
          <w:rFonts w:ascii="Arial" w:cs="Arial" w:eastAsia="Arial" w:hAnsi="Arial"/>
          <w:color w:val="000000"/>
          <w:sz w:val="22"/>
          <w:szCs w:val="22"/>
        </w:rPr>
        <w:t xml:space="preserve">K-1 specific: IsK1AttachmentListZero checks whether the K-1 attachment list is empty. When a Draft K-1 is promoted to a final K-1, CopyK1AttachmentList copies attachments from the draft. Document naming for K-1 types uses UpdateDocName_K1 (vs UpdateDocName for all other types).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c>
          <w:tcPr>
            <w:tcW w:type="dxa" w:w="2800"/>
            <w:shd w:fill="D6E4F0" w:val="clear"/>
            <w:tcMar>
              <w:top w:type="dxa" w:w="80"/>
              <w:start w:type="dxa" w:w="120"/>
              <w:bottom w:type="dxa" w:w="80"/>
              <w:end w:type="dxa" w:w="120"/>
            </w:tcMar>
          </w:tcPr>
          <w:p>
            <w:r>
              <w:rPr>
                <w:rFonts w:ascii="Arial" w:hAnsi="Arial"/>
                <w:b/>
                <w:bCs/>
                <w:sz w:val="22"/>
              </w:rPr>
              <w:t xml:space="preserve">Validation Rule</w:t>
            </w:r>
          </w:p>
        </w:tc>
        <w:tc>
          <w:tcPr>
            <w:tcW w:type="dxa" w:w="6560"/>
            <w:shd w:fill="D6E4F0" w:val="clear"/>
            <w:tcMar>
              <w:top w:type="dxa" w:w="80"/>
              <w:start w:type="dxa" w:w="120"/>
              <w:bottom w:type="dxa" w:w="80"/>
              <w:end w:type="dxa" w:w="120"/>
            </w:tcMar>
          </w:tcPr>
          <w:p>
            <w:r>
              <w:rPr>
                <w:rFonts w:ascii="Arial" w:hAnsi="Arial"/>
                <w:b/>
                <w:bCs/>
                <w:sz w:val="22"/>
              </w:rPr>
              <w:t xml:space="preserve">What it checks</w:t>
            </w:r>
          </w:p>
        </w:tc>
      </w:tr>
      <w:tr>
        <w:tc>
          <w:tcPr>
            <w:tcW w:type="dxa" w:w="2800"/>
            <w:shd w:fill="FFFFFF" w:val="clear"/>
            <w:tcMar>
              <w:top w:type="dxa" w:w="80"/>
              <w:start w:type="dxa" w:w="120"/>
              <w:bottom w:type="dxa" w:w="80"/>
              <w:end w:type="dxa" w:w="120"/>
            </w:tcMar>
          </w:tcPr>
          <w:p>
            <w:r>
              <w:rPr>
                <w:rFonts w:ascii="Arial" w:hAnsi="Arial"/>
                <w:sz w:val="20"/>
              </w:rPr>
              <w:t xml:space="preserve">File attachment required (IsDocumentAttached)</w:t>
            </w:r>
          </w:p>
        </w:tc>
        <w:tc>
          <w:tcPr>
            <w:tcW w:type="dxa" w:w="6560"/>
            <w:shd w:fill="FFFFFF" w:val="clear"/>
            <w:tcMar>
              <w:top w:type="dxa" w:w="80"/>
              <w:start w:type="dxa" w:w="120"/>
              <w:bottom w:type="dxa" w:w="80"/>
              <w:end w:type="dxa" w:w="120"/>
            </w:tcMar>
          </w:tcPr>
          <w:p>
            <w:r>
              <w:rPr>
                <w:rFonts w:ascii="Arial" w:hAnsi="Arial"/>
                <w:sz w:val="20"/>
              </w:rPr>
              <w:t xml:space="preserve">Ensures a PDF file attachment is present before a document row can be saved.</w:t>
            </w:r>
          </w:p>
        </w:tc>
      </w:tr>
      <w:tr>
        <w:tc>
          <w:tcPr>
            <w:tcW w:type="dxa" w:w="2800"/>
            <w:shd w:fill="F2F2F2" w:val="clear"/>
            <w:tcMar>
              <w:top w:type="dxa" w:w="80"/>
              <w:start w:type="dxa" w:w="120"/>
              <w:bottom w:type="dxa" w:w="80"/>
              <w:end w:type="dxa" w:w="120"/>
            </w:tcMar>
          </w:tcPr>
          <w:p>
            <w:r>
              <w:rPr>
                <w:rFonts w:ascii="Arial" w:hAnsi="Arial"/>
                <w:sz w:val="20"/>
              </w:rPr>
              <w:t xml:space="preserve">Document name format (ValDocName + ValDocNameExtensions)</w:t>
            </w:r>
          </w:p>
        </w:tc>
        <w:tc>
          <w:tcPr>
            <w:tcW w:type="dxa" w:w="6560"/>
            <w:shd w:fill="F2F2F2" w:val="clear"/>
            <w:tcMar>
              <w:top w:type="dxa" w:w="80"/>
              <w:start w:type="dxa" w:w="120"/>
              <w:bottom w:type="dxa" w:w="80"/>
              <w:end w:type="dxa" w:w="120"/>
            </w:tcMar>
          </w:tcPr>
          <w:p>
            <w:r>
              <w:rPr>
                <w:rFonts w:ascii="Arial" w:hAnsi="Arial"/>
                <w:sz w:val="20"/>
              </w:rPr>
              <w:t xml:space="preserve">Validates the document file name format and permitted file extensions.</w:t>
            </w:r>
          </w:p>
        </w:tc>
      </w:tr>
      <w:tr>
        <w:tc>
          <w:tcPr>
            <w:tcW w:type="dxa" w:w="2800"/>
            <w:shd w:fill="FFFFFF" w:val="clear"/>
            <w:tcMar>
              <w:top w:type="dxa" w:w="80"/>
              <w:start w:type="dxa" w:w="120"/>
              <w:bottom w:type="dxa" w:w="80"/>
              <w:end w:type="dxa" w:w="120"/>
            </w:tcMar>
          </w:tcPr>
          <w:p>
            <w:r>
              <w:rPr>
                <w:rFonts w:ascii="Arial" w:hAnsi="Arial"/>
                <w:sz w:val="20"/>
              </w:rPr>
              <w:t xml:space="preserve">Duplicate document check (CheckDuplicateDoc_Info)</w:t>
            </w:r>
          </w:p>
        </w:tc>
        <w:tc>
          <w:tcPr>
            <w:tcW w:type="dxa" w:w="6560"/>
            <w:shd w:fill="FFFFFF" w:val="clear"/>
            <w:tcMar>
              <w:top w:type="dxa" w:w="80"/>
              <w:start w:type="dxa" w:w="120"/>
              <w:bottom w:type="dxa" w:w="80"/>
              <w:end w:type="dxa" w:w="120"/>
            </w:tcMar>
          </w:tcPr>
          <w:p>
            <w:r>
              <w:rPr>
                <w:rFonts w:ascii="Arial" w:hAnsi="Arial"/>
                <w:sz w:val="20"/>
              </w:rPr>
              <w:t xml:space="preserve">Prevents duplicates with the same type and file content on the same record. Displays a DuplicateDoc_Type warning if triggered.</w:t>
            </w:r>
          </w:p>
        </w:tc>
      </w:tr>
    </w:tbl>
    <w:p>
      <w:pPr>
        <w:pStyle w:val="Heading2"/>
        <w:spacing w:after="120" w:before="240"/>
      </w:pPr>
      <w:r>
        <w:rPr>
          <w:rFonts w:ascii="Arial" w:cs="Arial" w:eastAsia="Arial" w:hAnsi="Arial"/>
          <w:b/>
          <w:bCs/>
          <w:color w:val="1F4E79"/>
          <w:sz w:val="26"/>
          <w:szCs w:val="26"/>
        </w:rPr>
        <w:t xml:space="preserve">5.6 System Action — Check Client Box Folder</w:t>
      </w:r>
    </w:p>
    <w:p>
      <w:pPr>
        <w:spacing w:after="120" w:before="0"/>
      </w:pPr>
      <w:r>
        <w:rPr>
          <w:rFonts w:ascii="Arial" w:cs="Arial" w:eastAsia="Arial" w:hAnsi="Arial"/>
          <w:b w:val="false"/>
          <w:bCs w:val="false"/>
          <w:color w:val="000000"/>
          <w:sz w:val="22"/>
          <w:szCs w:val="22"/>
        </w:rPr>
        <w:t xml:space="preserve">After the staff member submits the form, the system calls the Box API to verify the client's permanent folder URL.</w:t>
      </w:r>
    </w:p>
    <w:p>
      <w:pPr>
        <w:pStyle w:val="ListParagraph"/>
        <w:numPr>
          <w:ilvl w:val="0"/>
          <w:numId w:val="2"/>
        </w:numPr>
        <w:spacing w:after="80"/>
      </w:pPr>
      <w:r>
        <w:rPr>
          <w:rFonts w:ascii="Arial" w:cs="Arial" w:eastAsia="Arial" w:hAnsi="Arial"/>
          <w:sz w:val="22"/>
          <w:szCs w:val="22"/>
        </w:rPr>
        <w:t xml:space="preserve">If folder URL is found → display Confirmation Screen</w:t>
      </w:r>
    </w:p>
    <w:p>
      <w:pPr>
        <w:pStyle w:val="ListParagraph"/>
        <w:numPr>
          <w:ilvl w:val="0"/>
          <w:numId w:val="2"/>
        </w:numPr>
        <w:spacing w:after="80"/>
      </w:pPr>
      <w:r>
        <w:rPr>
          <w:rFonts w:ascii="Arial" w:cs="Arial" w:eastAsia="Arial" w:hAnsi="Arial"/>
          <w:sz w:val="22"/>
          <w:szCs w:val="22"/>
        </w:rPr>
        <w:t xml:space="preserve">If folder URL is not found → display Re-enter URL screen; staff corrects the URL; system retries until verified</w:t>
      </w:r>
    </w:p>
    <w:p>
      <w:pPr>
        <w:spacing w:after="120"/>
      </w:pPr>
    </w:p>
    <w:p>
      <w:pPr>
        <w:pStyle w:val="Heading2"/>
        <w:spacing w:after="120" w:before="240"/>
      </w:pPr>
      <w:r>
        <w:rPr>
          <w:rFonts w:ascii="Arial" w:cs="Arial" w:eastAsia="Arial" w:hAnsi="Arial"/>
          <w:b/>
          <w:bCs/>
          <w:color w:val="1F4E79"/>
          <w:sz w:val="26"/>
          <w:szCs w:val="26"/>
        </w:rPr>
        <w:t xml:space="preserve">5.7 Confirmation Screen</w:t>
      </w:r>
    </w:p>
    <w:p>
      <w:pPr>
        <w:spacing w:after="120" w:before="0"/>
      </w:pPr>
      <w:r>
        <w:rPr>
          <w:rFonts w:ascii="Arial" w:cs="Arial" w:eastAsia="Arial" w:hAnsi="Arial"/>
          <w:b w:val="false"/>
          <w:bCs w:val="false"/>
          <w:color w:val="000000"/>
          <w:sz w:val="22"/>
          <w:szCs w:val="22"/>
        </w:rPr>
        <w:t xml:space="preserve">A read-only summary of all data entered. Staff reviews and clicks Submit to advance to Stage 2. Administrators see additional action controls on this screen that Standard Users do not.</w:t>
      </w:r>
    </w:p>
    <w:p>
      <w:pPr>
        <w:pStyle w:val="Heading2"/>
        <w:spacing w:after="120" w:before="240"/>
      </w:pPr>
      <w:r>
        <w:rPr>
          <w:rFonts w:ascii="Arial" w:cs="Arial" w:eastAsia="Arial" w:hAnsi="Arial"/>
          <w:b/>
          <w:bCs/>
          <w:color w:val="1F4E79"/>
          <w:sz w:val="26"/>
          <w:szCs w:val="26"/>
        </w:rPr>
        <w:t xml:space="preserve">5.8 Post-Stage Action</w:t>
      </w:r>
    </w:p>
    <w:p>
      <w:pPr>
        <w:spacing w:after="120" w:before="0"/>
      </w:pPr>
      <w:r>
        <w:rPr>
          <w:rFonts w:ascii="Arial" w:cs="Arial" w:eastAsia="Arial" w:hAnsi="Arial"/>
          <w:b w:val="false"/>
          <w:bCs w:val="false"/>
          <w:color w:val="000000"/>
          <w:sz w:val="22"/>
          <w:szCs w:val="22"/>
        </w:rPr>
        <w:t xml:space="preserve">After confirmation is submitted, the system updates the client's Box credentials via API (UpdatePayerRef_Info), then automatically advances the record to Stage 2.</w:t>
      </w:r>
    </w:p>
    <w:p>
      <w:r>
        <w:br w:type="page"/>
      </w:r>
    </w:p>
    <w:p>
      <w:pPr>
        <w:pStyle w:val="Heading1"/>
        <w:spacing w:after="160" w:before="360"/>
      </w:pPr>
      <w:r>
        <w:rPr>
          <w:rFonts w:ascii="Arial" w:cs="Arial" w:eastAsia="Arial" w:hAnsi="Arial"/>
          <w:b/>
          <w:bCs/>
          <w:color w:val="1F4E79"/>
          <w:sz w:val="32"/>
          <w:szCs w:val="32"/>
        </w:rPr>
        <w:t xml:space="preserve">6. Stage 2 — PDF Processing</w:t>
      </w:r>
    </w:p>
    <w:p>
      <w:pPr>
        <w:pStyle w:val="Heading2"/>
        <w:spacing w:after="120" w:before="240"/>
      </w:pPr>
      <w:r>
        <w:rPr>
          <w:rFonts w:ascii="Arial" w:cs="Arial" w:eastAsia="Arial" w:hAnsi="Arial"/>
          <w:b/>
          <w:bCs/>
          <w:color w:val="1F4E79"/>
          <w:sz w:val="26"/>
          <w:szCs w:val="26"/>
        </w:rPr>
        <w:t xml:space="preserve">6.1 Business Purpose</w:t>
      </w:r>
    </w:p>
    <w:p>
      <w:pPr>
        <w:spacing w:after="120" w:before="0"/>
      </w:pPr>
      <w:r>
        <w:rPr>
          <w:rFonts w:ascii="Arial" w:cs="Arial" w:eastAsia="Arial" w:hAnsi="Arial"/>
          <w:b w:val="false"/>
          <w:bCs w:val="false"/>
          <w:color w:val="000000"/>
          <w:sz w:val="22"/>
          <w:szCs w:val="22"/>
        </w:rPr>
        <w:t xml:space="preserve">The system automatically moves all uploaded documents from the temporary staging folder to the client's permanent Box folder(s), applying the correct folder routing based on document type.</w:t>
      </w:r>
    </w:p>
    <w:p>
      <w:pPr>
        <w:pStyle w:val="Heading2"/>
        <w:spacing w:after="120" w:before="240"/>
      </w:pPr>
      <w:r>
        <w:rPr>
          <w:rFonts w:ascii="Arial" w:cs="Arial" w:eastAsia="Arial" w:hAnsi="Arial"/>
          <w:b/>
          <w:bCs/>
          <w:color w:val="1F4E79"/>
          <w:sz w:val="26"/>
          <w:szCs w:val="26"/>
        </w:rPr>
        <w:t xml:space="preserve">6.2 Processing Logic</w:t>
      </w:r>
    </w:p>
    <w:p>
      <w:pPr>
        <w:spacing w:after="120" w:before="0"/>
      </w:pPr>
      <w:r>
        <w:rPr>
          <w:rFonts w:ascii="Arial" w:cs="Arial" w:eastAsia="Arial" w:hAnsi="Arial"/>
          <w:b w:val="false"/>
          <w:bCs w:val="false"/>
          <w:color w:val="000000"/>
          <w:sz w:val="22"/>
          <w:szCs w:val="22"/>
        </w:rPr>
        <w:t xml:space="preserve">Stage 2 begins with two 5-minute background wait timers before file operations start. Each document is then processed in a defined three-destination sequence:</w:t>
      </w:r>
    </w:p>
    <w:p>
      <w:pPr>
        <w:pStyle w:val="ListParagraph"/>
        <w:numPr>
          <w:ilvl w:val="0"/>
          <w:numId w:val="2"/>
        </w:numPr>
        <w:spacing w:after="80"/>
      </w:pPr>
      <w:r>
        <w:rPr>
          <w:rFonts w:ascii="Arial" w:cs="Arial" w:eastAsia="Arial" w:hAnsi="Arial"/>
          <w:sz w:val="22"/>
          <w:szCs w:val="22"/>
        </w:rPr>
        <w:t xml:space="preserve">Wait 1 (5 minutes): background timer after stage entry before folder creation begins</w:t>
      </w:r>
    </w:p>
    <w:p>
      <w:pPr>
        <w:pStyle w:val="ListParagraph"/>
        <w:numPr>
          <w:ilvl w:val="0"/>
          <w:numId w:val="2"/>
        </w:numPr>
        <w:spacing w:after="80"/>
      </w:pPr>
      <w:r>
        <w:rPr>
          <w:rFonts w:ascii="Arial" w:cs="Arial" w:eastAsia="Arial" w:hAnsi="Arial"/>
          <w:sz w:val="22"/>
          <w:szCs w:val="22"/>
        </w:rPr>
        <w:t xml:space="preserve">CreateTargetFolders: provisions three permanent Box folders — Internal Quick View, External Client Copy, and Internal Client Copy — under the taxpayer's Box location</w:t>
      </w:r>
    </w:p>
    <w:p>
      <w:pPr>
        <w:pStyle w:val="ListParagraph"/>
        <w:numPr>
          <w:ilvl w:val="0"/>
          <w:numId w:val="2"/>
        </w:numPr>
        <w:spacing w:after="80"/>
      </w:pPr>
      <w:r>
        <w:rPr>
          <w:rFonts w:ascii="Arial" w:cs="Arial" w:eastAsia="Arial" w:hAnsi="Arial"/>
          <w:sz w:val="22"/>
          <w:szCs w:val="22"/>
        </w:rPr>
        <w:t xml:space="preserve">Wait 2 (5 minutes): second timer after folder creation, allowing Box API to complete provisioning before transfers begin</w:t>
      </w:r>
    </w:p>
    <w:p>
      <w:pPr>
        <w:pStyle w:val="ListParagraph"/>
        <w:numPr>
          <w:ilvl w:val="0"/>
          <w:numId w:val="2"/>
        </w:numPr>
        <w:spacing w:after="80"/>
      </w:pPr>
      <w:r>
        <w:rPr>
          <w:rFonts w:ascii="Arial" w:cs="Arial" w:eastAsia="Arial" w:hAnsi="Arial"/>
          <w:sz w:val="22"/>
          <w:szCs w:val="22"/>
        </w:rPr>
        <w:t xml:space="preserve">For each document — UploadFile_Box sub-flow: (1) MoveFile_InternalQuickViewFolder — unencrypted, always; (2) MoveFile_ExternalFolder — encrypted if IsPasswordProtect = true; (3) MoveFile_InternalFolder — encrypted if IsPasswordProtect = true. Each move has a 5-minute async wait.</w:t>
      </w:r>
    </w:p>
    <w:p>
      <w:pPr>
        <w:pStyle w:val="ListParagraph"/>
        <w:numPr>
          <w:ilvl w:val="0"/>
          <w:numId w:val="2"/>
        </w:numPr>
        <w:spacing w:after="80"/>
      </w:pPr>
      <w:r>
        <w:rPr>
          <w:rFonts w:ascii="Arial" w:cs="Arial" w:eastAsia="Arial" w:hAnsi="Arial"/>
          <w:sz w:val="22"/>
          <w:szCs w:val="22"/>
        </w:rPr>
        <w:t xml:space="preserve">AllAttachmentsMoved? check — if any file failed: GetTaxFileCount DT runs (ECCount / ICCount / IQCount per folder type), then FollowUpOnDocuments flow action routes to operator worklist. If IsEscalated = true: additionally routed to TaxFileMoveReconciliation workbasket (note: stored in system as ‘TaxFileMoveReconcilition WB’ — known typo, verify exact spelling when configuring).</w:t>
      </w:r>
    </w:p>
    <w:p>
      <w:pPr>
        <w:spacing w:after="120"/>
      </w:pPr>
    </w:p>
    <w:p>
      <w:pPr>
        <w:pStyle w:val="Heading2"/>
        <w:spacing w:after="120" w:before="240"/>
      </w:pPr>
      <w:r>
        <w:rPr>
          <w:rFonts w:ascii="Arial" w:cs="Arial" w:eastAsia="Arial" w:hAnsi="Arial"/>
          <w:b/>
          <w:bCs/>
          <w:color w:val="1F4E79"/>
          <w:sz w:val="26"/>
          <w:szCs w:val="26"/>
        </w:rPr>
        <w:t xml:space="preserve">6.3 Exception Handling</w:t>
      </w:r>
    </w:p>
    <w:p>
      <w:pPr>
        <w:spacing w:after="120" w:before="0"/>
      </w:pPr>
      <w:r>
        <w:rPr>
          <w:rFonts w:ascii="Arial" w:cs="Arial" w:eastAsia="Arial" w:hAnsi="Arial"/>
          <w:b w:val="false"/>
          <w:bCs w:val="false"/>
          <w:color w:val="000000"/>
          <w:sz w:val="22"/>
          <w:szCs w:val="22"/>
        </w:rPr>
        <w:t xml:space="preserve">If any document fails to transfer to Box (IsFileNotTransferred_Box = true), the reconciliation loop begins:</w:t>
      </w:r>
    </w:p>
    <w:p>
      <w:pPr>
        <w:pStyle w:val="ListParagraph"/>
        <w:numPr>
          <w:ilvl w:val="0"/>
          <w:numId w:val="2"/>
        </w:numPr>
        <w:spacing w:after="80"/>
      </w:pPr>
      <w:r>
        <w:rPr>
          <w:rFonts w:ascii="Arial" w:cs="Arial" w:eastAsia="Arial" w:hAnsi="Arial"/>
          <w:sz w:val="22"/>
          <w:szCs w:val="22"/>
        </w:rPr>
        <w:t xml:space="preserve">GetTaxFileCount data transform runs — counts unprocessed files per folder type (ECCount, ICCount, IQCount)</w:t>
      </w:r>
    </w:p>
    <w:p>
      <w:pPr>
        <w:pStyle w:val="ListParagraph"/>
        <w:numPr>
          <w:ilvl w:val="0"/>
          <w:numId w:val="2"/>
        </w:numPr>
        <w:spacing w:after="80"/>
      </w:pPr>
      <w:r>
        <w:rPr>
          <w:rFonts w:ascii="Arial" w:cs="Arial" w:eastAsia="Arial" w:hAnsi="Arial"/>
          <w:sz w:val="22"/>
          <w:szCs w:val="22"/>
        </w:rPr>
        <w:t xml:space="preserve">Record routed to operator worklist via FollowUpOnDocuments flow action (status: Some files not transferred)</w:t>
      </w:r>
    </w:p>
    <w:p>
      <w:pPr>
        <w:pStyle w:val="ListParagraph"/>
        <w:numPr>
          <w:ilvl w:val="0"/>
          <w:numId w:val="2"/>
        </w:numPr>
        <w:spacing w:after="80"/>
      </w:pPr>
      <w:r>
        <w:rPr>
          <w:rFonts w:ascii="Arial" w:cs="Arial" w:eastAsia="Arial" w:hAnsi="Arial"/>
          <w:sz w:val="22"/>
          <w:szCs w:val="22"/>
        </w:rPr>
        <w:t xml:space="preserve">If IsEscalated = true: additionally routed to TaxFileMoveReconciliation workbasket for escalated review</w:t>
      </w:r>
    </w:p>
    <w:p>
      <w:pPr>
        <w:pStyle w:val="ListParagraph"/>
        <w:numPr>
          <w:ilvl w:val="0"/>
          <w:numId w:val="2"/>
        </w:numPr>
        <w:spacing w:after="80"/>
      </w:pPr>
      <w:r>
        <w:rPr>
          <w:rFonts w:ascii="Arial" w:cs="Arial" w:eastAsia="Arial" w:hAnsi="Arial"/>
          <w:sz w:val="22"/>
          <w:szCs w:val="22"/>
        </w:rPr>
        <w:t xml:space="preserve">After operator action, IsEscalated is re-evaluated: if resolved, processing ends; if still escalated, re-routes to workbasket</w:t>
      </w:r>
    </w:p>
    <w:p>
      <w:r>
        <w:br w:type="page"/>
      </w:r>
    </w:p>
    <w:p>
      <w:r>
        <w:br w:type="page"/>
      </w:r>
    </w:p>
    <w:p>
      <w:pPr>
        <w:pStyle w:val="Heading1"/>
        <w:spacing w:after="160" w:before="360"/>
      </w:pPr>
      <w:r>
        <w:rPr>
          <w:rFonts w:ascii="Arial" w:cs="Arial" w:eastAsia="Arial" w:hAnsi="Arial"/>
          <w:b/>
          <w:bCs/>
          <w:color w:val="1F4E79"/>
          <w:sz w:val="32"/>
          <w:szCs w:val="32"/>
        </w:rPr>
        <w:t xml:space="preserve">6.4 PDF Password Protection</w:t>
      </w:r>
    </w:p>
    <w:p>
      <w:pPr>
        <w:spacing w:after="120" w:before="0"/>
      </w:pPr>
      <w:r>
        <w:rPr>
          <w:rFonts w:ascii="Arial" w:cs="Arial" w:eastAsia="Arial" w:hAnsi="Arial"/>
          <w:color w:val="000000"/>
          <w:sz w:val="22"/>
          <w:szCs w:val="22"/>
        </w:rPr>
        <w:t xml:space="preserve">When Is Password Protected = Yes, the system applies in-memory PDF encryption (Apache PDFBox, org.apache.pdfbox) before uploading to Box. No temp files are written to disk — all processing is in-memory.</w:t>
      </w:r>
    </w:p>
    <w:p>
      <w:pPr>
        <w:pStyle w:val="Heading3"/>
        <w:spacing w:after="100" w:before="180"/>
      </w:pPr>
      <w:r>
        <w:rPr>
          <w:rFonts w:ascii="Arial" w:cs="Arial" w:eastAsia="Arial" w:hAnsi="Arial"/>
          <w:b/>
          <w:bCs/>
          <w:color w:val="2E75B6"/>
          <w:sz w:val="24"/>
          <w:szCs w:val="24"/>
        </w:rPr>
        <w:t xml:space="preserve">Which Box folders receive encrypted vs unencrypted files</w:t>
      </w:r>
    </w:p>
    <w:p>
      <w:pPr>
        <w:spacing w:after="120"/>
      </w:pPr>
    </w:p>
    <w:p>
      <w:pPr>
        <w:pStyle w:val="Heading3"/>
        <w:spacing w:after="100" w:before="180"/>
      </w:pPr>
      <w:r>
        <w:rPr>
          <w:rFonts w:ascii="Arial" w:cs="Arial" w:eastAsia="Arial" w:hAnsi="Arial"/>
          <w:b/>
          <w:bCs/>
          <w:color w:val="2E75B6"/>
          <w:sz w:val="24"/>
          <w:szCs w:val="24"/>
        </w:rPr>
        <w:t xml:space="preserve">Permission model — print-only</w:t>
      </w:r>
    </w:p>
    <w:p>
      <w:pPr>
        <w:spacing w:after="120" w:before="0"/>
      </w:pPr>
      <w:r>
        <w:rPr>
          <w:rFonts w:ascii="Arial" w:cs="Arial" w:eastAsia="Arial" w:hAnsi="Arial"/>
          <w:color w:val="000000"/>
          <w:sz w:val="22"/>
          <w:szCs w:val="22"/>
        </w:rPr>
        <w:t xml:space="preserve">Recipients who know the Read/Write password can open and print only — all other permissions are blocked:</w:t>
      </w:r>
    </w:p>
    <w:p>
      <w:pPr>
        <w:spacing w:after="120"/>
      </w:pPr>
    </w:p>
    <w:p>
      <w:pPr>
        <w:pStyle w:val="Heading3"/>
        <w:spacing w:after="100" w:before="180"/>
      </w:pPr>
      <w:r>
        <w:rPr>
          <w:rFonts w:ascii="Arial" w:cs="Arial" w:eastAsia="Arial" w:hAnsi="Arial"/>
          <w:b/>
          <w:bCs/>
          <w:color w:val="2E75B6"/>
          <w:sz w:val="24"/>
          <w:szCs w:val="24"/>
        </w:rPr>
        <w:t xml:space="preserve">Two-password architecture</w:t>
      </w:r>
    </w:p>
    <w:p>
      <w:pPr>
        <w:numPr>
          <w:ilvl w:val="0"/>
          <w:numId w:val="1"/>
        </w:numPr>
        <w:spacing w:after="80"/>
      </w:pPr>
      <w:r>
        <w:rPr>
          <w:rFonts w:ascii="Arial" w:cs="Arial" w:eastAsia="Arial" w:hAnsi="Arial"/>
          <w:sz w:val="22"/>
          <w:szCs w:val="22"/>
        </w:rPr>
        <w:t xml:space="preserve">Read/Write Password (User Password): unique per client, stored on the routing record as RWpassword, sourced from TaxPayerRefData. This is the password shared with the client to open the document.</w:t>
      </w:r>
    </w:p>
    <w:p>
      <w:pPr>
        <w:numPr>
          <w:ilvl w:val="0"/>
          <w:numId w:val="1"/>
        </w:numPr>
        <w:spacing w:after="80"/>
      </w:pPr>
      <w:r>
        <w:rPr>
          <w:rFonts w:ascii="Arial" w:cs="Arial" w:eastAsia="Arial" w:hAnsi="Arial"/>
          <w:sz w:val="22"/>
          <w:szCs w:val="22"/>
        </w:rPr>
        <w:t xml:space="preserve">Master Password (Owner Password): same for every document in the system. Retrieved from application configuration settings (key: TaxMasterPassword), stored as Base64-encoded value. Grants unrestricted access bypassing all permissions. Must never be shared with clients.</w:t>
      </w:r>
    </w:p>
    <w:p>
      <w:pPr>
        <w:spacing w:after="120"/>
      </w:pPr>
    </w:p>
    <w:p>
      <w:pPr>
        <w:pStyle w:val="Heading3"/>
        <w:spacing w:after="100" w:before="180"/>
      </w:pPr>
      <w:r>
        <w:rPr>
          <w:rFonts w:ascii="Arial" w:cs="Arial" w:eastAsia="Arial" w:hAnsi="Arial"/>
          <w:b/>
          <w:bCs/>
          <w:color w:val="2E75B6"/>
          <w:sz w:val="24"/>
          <w:szCs w:val="24"/>
        </w:rPr>
        <w:t xml:space="preserve">Filename convention for protected files</w:t>
      </w:r>
    </w:p>
    <w:p>
      <w:pPr>
        <w:spacing w:after="120"/>
      </w:pPr>
    </w:p>
    <w:p>
      <w:pPr>
        <w:pStyle w:val="Heading3"/>
        <w:spacing w:after="100" w:before="180"/>
      </w:pPr>
      <w:r>
        <w:rPr>
          <w:rFonts w:ascii="Arial" w:cs="Arial" w:eastAsia="Arial" w:hAnsi="Arial"/>
          <w:b/>
          <w:bCs/>
          <w:color w:val="2E75B6"/>
          <w:sz w:val="24"/>
          <w:szCs w:val="24"/>
        </w:rPr>
        <w:t xml:space="preserve">Security considerations</w:t>
      </w:r>
    </w:p>
    <w:p>
      <w:pPr>
        <w:numPr>
          <w:ilvl w:val="0"/>
          <w:numId w:val="1"/>
        </w:numPr>
        <w:spacing w:after="80"/>
      </w:pPr>
      <w:r>
        <w:rPr>
          <w:rFonts w:ascii="Arial" w:cs="Arial" w:eastAsia="Arial" w:hAnsi="Arial"/>
          <w:sz w:val="22"/>
          <w:szCs w:val="22"/>
        </w:rPr>
        <w:t xml:space="preserve">RWpassword is stored as plain text on the routing record. Mask this field in all staff-facing screens and exclude it from audit history capture.</w:t>
      </w:r>
    </w:p>
    <w:p>
      <w:pPr>
        <w:numPr>
          <w:ilvl w:val="0"/>
          <w:numId w:val="1"/>
        </w:numPr>
        <w:spacing w:after="80"/>
      </w:pPr>
      <w:r>
        <w:rPr>
          <w:rFonts w:ascii="Arial" w:cs="Arial" w:eastAsia="Arial" w:hAnsi="Arial"/>
          <w:sz w:val="22"/>
          <w:szCs w:val="22"/>
        </w:rPr>
        <w:t xml:space="preserve">The Master Password is stored using reversible Base64 encoding — not cryptographic protection. Any administrator with access to configuration settings can retrieve it. Treat as high-privilege: restrict access, rotate regularly, and consider migrating to a purpose-built secret store.</w:t>
      </w:r>
    </w:p>
    <w:p>
      <w:pPr>
        <w:numPr>
          <w:ilvl w:val="0"/>
          <w:numId w:val="1"/>
        </w:numPr>
        <w:spacing w:after="80"/>
      </w:pPr>
      <w:r>
        <w:rPr>
          <w:rFonts w:ascii="Arial" w:cs="Arial" w:eastAsia="Arial" w:hAnsi="Arial"/>
          <w:sz w:val="22"/>
          <w:szCs w:val="22"/>
        </w:rPr>
        <w:t xml:space="preserve">The SetPasswrdProtectionInfo data transform (PDS-FW-Tax-Work) sets the IsPasswordProtect flag and RWpassword on each document record before file processing. Review this transform to confirm exactly when and how per-taxpayer passwords are assigned.</w:t>
      </w:r>
    </w:p>
    <w:p>
      <w:pPr>
        <w:numPr>
          <w:ilvl w:val="0"/>
          <w:numId w:val="1"/>
        </w:numPr>
        <w:spacing w:after="80"/>
      </w:pPr>
      <w:r>
        <w:rPr>
          <w:rFonts w:ascii="Arial" w:cs="Arial" w:eastAsia="Arial" w:hAnsi="Arial"/>
          <w:sz w:val="22"/>
          <w:szCs w:val="22"/>
        </w:rPr>
        <w:t xml:space="preserve">If the encryption step fails at runtime, the exception handler clears page messages but does not explicitly flag the document as failed. Verify calling processes handle this to prevent a failed encryption from silently allowing an unprotected file to reach Box.</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2400"/>
        <w:gridCol w:w="3760"/>
      </w:tblGrid>
      <w:tr>
        <w:tc>
          <w:tcPr>
            <w:tcW w:type="dxa" w:w="3200"/>
            <w:shd w:fill="D6E4F0" w:val="clear"/>
            <w:tcMar>
              <w:top w:type="dxa" w:w="80"/>
              <w:start w:type="dxa" w:w="120"/>
              <w:bottom w:type="dxa" w:w="80"/>
              <w:end w:type="dxa" w:w="120"/>
            </w:tcMar>
          </w:tcPr>
          <w:p>
            <w:r>
              <w:rPr>
                <w:rFonts w:ascii="Arial" w:hAnsi="Arial"/>
                <w:b/>
                <w:bCs/>
                <w:sz w:val="22"/>
              </w:rPr>
              <w:t xml:space="preserve">Box Destination</w:t>
            </w:r>
          </w:p>
        </w:tc>
        <w:tc>
          <w:tcPr>
            <w:tcW w:type="dxa" w:w="2400"/>
            <w:shd w:fill="D6E4F0" w:val="clear"/>
            <w:tcMar>
              <w:top w:type="dxa" w:w="80"/>
              <w:start w:type="dxa" w:w="120"/>
              <w:bottom w:type="dxa" w:w="80"/>
              <w:end w:type="dxa" w:w="120"/>
            </w:tcMar>
          </w:tcPr>
          <w:p>
            <w:r>
              <w:rPr>
                <w:rFonts w:ascii="Arial" w:hAnsi="Arial"/>
                <w:b/>
                <w:bCs/>
                <w:sz w:val="22"/>
              </w:rPr>
              <w:t xml:space="preserve">Receives encrypted PDF?</w:t>
            </w:r>
          </w:p>
        </w:tc>
        <w:tc>
          <w:tcPr>
            <w:tcW w:type="dxa" w:w="3760"/>
            <w:shd w:fill="D6E4F0" w:val="clear"/>
            <w:tcMar>
              <w:top w:type="dxa" w:w="80"/>
              <w:start w:type="dxa" w:w="120"/>
              <w:bottom w:type="dxa" w:w="80"/>
              <w:end w:type="dxa" w:w="120"/>
            </w:tcMar>
          </w:tcPr>
          <w:p>
            <w:r>
              <w:rPr>
                <w:rFonts w:ascii="Arial" w:hAnsi="Arial"/>
                <w:b/>
                <w:bCs/>
                <w:sz w:val="22"/>
              </w:rPr>
              <w:t xml:space="preserve">Notes</w:t>
            </w:r>
          </w:p>
        </w:tc>
      </w:tr>
      <w:tr>
        <w:tc>
          <w:tcPr>
            <w:tcW w:type="dxa" w:w="3200"/>
            <w:shd w:fill="FFFFFF" w:val="clear"/>
            <w:tcMar>
              <w:top w:type="dxa" w:w="80"/>
              <w:start w:type="dxa" w:w="120"/>
              <w:bottom w:type="dxa" w:w="80"/>
              <w:end w:type="dxa" w:w="120"/>
            </w:tcMar>
          </w:tcPr>
          <w:p>
            <w:r>
              <w:rPr>
                <w:rFonts w:ascii="Arial" w:hAnsi="Arial"/>
                <w:sz w:val="20"/>
              </w:rPr>
              <w:t xml:space="preserve">Internal Quick View folder</w:t>
            </w:r>
          </w:p>
        </w:tc>
        <w:tc>
          <w:tcPr>
            <w:tcW w:type="dxa" w:w="2400"/>
            <w:shd w:fill="FFFFFF" w:val="clear"/>
            <w:tcMar>
              <w:top w:type="dxa" w:w="80"/>
              <w:start w:type="dxa" w:w="120"/>
              <w:bottom w:type="dxa" w:w="80"/>
              <w:end w:type="dxa" w:w="120"/>
            </w:tcMar>
          </w:tcPr>
          <w:p>
            <w:r>
              <w:rPr>
                <w:rFonts w:ascii="Arial" w:hAnsi="Arial"/>
                <w:sz w:val="20"/>
              </w:rPr>
              <w:t xml:space="preserve">NO — always unencrypted</w:t>
            </w:r>
          </w:p>
        </w:tc>
        <w:tc>
          <w:tcPr>
            <w:tcW w:type="dxa" w:w="3760"/>
            <w:shd w:fill="FFFFFF" w:val="clear"/>
            <w:tcMar>
              <w:top w:type="dxa" w:w="80"/>
              <w:start w:type="dxa" w:w="120"/>
              <w:bottom w:type="dxa" w:w="80"/>
              <w:end w:type="dxa" w:w="120"/>
            </w:tcMar>
          </w:tcPr>
          <w:p>
            <w:r>
              <w:rPr>
                <w:rFonts w:ascii="Arial" w:hAnsi="Arial"/>
                <w:sz w:val="20"/>
              </w:rPr>
              <w:t xml:space="preserve">Internal PDS staff can open without a password. Password step is skipped for this destination.</w:t>
            </w:r>
          </w:p>
        </w:tc>
      </w:tr>
      <w:tr>
        <w:tc>
          <w:tcPr>
            <w:tcW w:type="dxa" w:w="3200"/>
            <w:shd w:fill="F2F2F2" w:val="clear"/>
            <w:tcMar>
              <w:top w:type="dxa" w:w="80"/>
              <w:start w:type="dxa" w:w="120"/>
              <w:bottom w:type="dxa" w:w="80"/>
              <w:end w:type="dxa" w:w="120"/>
            </w:tcMar>
          </w:tcPr>
          <w:p>
            <w:r>
              <w:rPr>
                <w:rFonts w:ascii="Arial" w:hAnsi="Arial"/>
                <w:sz w:val="20"/>
              </w:rPr>
              <w:t xml:space="preserve">External Client Copy folder</w:t>
            </w:r>
          </w:p>
        </w:tc>
        <w:tc>
          <w:tcPr>
            <w:tcW w:type="dxa" w:w="2400"/>
            <w:shd w:fill="F2F2F2" w:val="clear"/>
            <w:tcMar>
              <w:top w:type="dxa" w:w="80"/>
              <w:start w:type="dxa" w:w="120"/>
              <w:bottom w:type="dxa" w:w="80"/>
              <w:end w:type="dxa" w:w="120"/>
            </w:tcMar>
          </w:tcPr>
          <w:p>
            <w:r>
              <w:rPr>
                <w:rFonts w:ascii="Arial" w:hAnsi="Arial"/>
                <w:sz w:val="20"/>
              </w:rPr>
              <w:t xml:space="preserve">YES (when IsPasswordProtect = true)</w:t>
            </w:r>
          </w:p>
        </w:tc>
        <w:tc>
          <w:tcPr>
            <w:tcW w:type="dxa" w:w="3760"/>
            <w:shd w:fill="F2F2F2" w:val="clear"/>
            <w:tcMar>
              <w:top w:type="dxa" w:w="80"/>
              <w:start w:type="dxa" w:w="120"/>
              <w:bottom w:type="dxa" w:w="80"/>
              <w:end w:type="dxa" w:w="120"/>
            </w:tcMar>
          </w:tcPr>
          <w:p>
            <w:r>
              <w:rPr>
                <w:rFonts w:ascii="Arial" w:hAnsi="Arial"/>
                <w:sz w:val="20"/>
              </w:rPr>
              <w:t xml:space="preserve">Client-facing. Requires Read/Write password to open.</w:t>
            </w:r>
          </w:p>
        </w:tc>
      </w:tr>
      <w:tr>
        <w:tc>
          <w:tcPr>
            <w:tcW w:type="dxa" w:w="3200"/>
            <w:shd w:fill="FFFFFF" w:val="clear"/>
            <w:tcMar>
              <w:top w:type="dxa" w:w="80"/>
              <w:start w:type="dxa" w:w="120"/>
              <w:bottom w:type="dxa" w:w="80"/>
              <w:end w:type="dxa" w:w="120"/>
            </w:tcMar>
          </w:tcPr>
          <w:p>
            <w:r>
              <w:rPr>
                <w:rFonts w:ascii="Arial" w:hAnsi="Arial"/>
                <w:sz w:val="20"/>
              </w:rPr>
              <w:t xml:space="preserve">Internal Client Copy folder</w:t>
            </w:r>
          </w:p>
        </w:tc>
        <w:tc>
          <w:tcPr>
            <w:tcW w:type="dxa" w:w="2400"/>
            <w:shd w:fill="FFFFFF" w:val="clear"/>
            <w:tcMar>
              <w:top w:type="dxa" w:w="80"/>
              <w:start w:type="dxa" w:w="120"/>
              <w:bottom w:type="dxa" w:w="80"/>
              <w:end w:type="dxa" w:w="120"/>
            </w:tcMar>
          </w:tcPr>
          <w:p>
            <w:r>
              <w:rPr>
                <w:rFonts w:ascii="Arial" w:hAnsi="Arial"/>
                <w:sz w:val="20"/>
              </w:rPr>
              <w:t xml:space="preserve">YES (when IsPasswordProtect = true)</w:t>
            </w:r>
          </w:p>
        </w:tc>
        <w:tc>
          <w:tcPr>
            <w:tcW w:type="dxa" w:w="3760"/>
            <w:shd w:fill="FFFFFF" w:val="clear"/>
            <w:tcMar>
              <w:top w:type="dxa" w:w="80"/>
              <w:start w:type="dxa" w:w="120"/>
              <w:bottom w:type="dxa" w:w="80"/>
              <w:end w:type="dxa" w:w="120"/>
            </w:tcMar>
          </w:tcPr>
          <w:p>
            <w:r>
              <w:rPr>
                <w:rFonts w:ascii="Arial" w:hAnsi="Arial"/>
                <w:sz w:val="20"/>
              </w:rPr>
              <w:t xml:space="preserve">Internal archive. Same encryption as the external copy.</w:t>
            </w:r>
          </w:p>
        </w:tc>
      </w:tr>
    </w:tbl>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2000"/>
        <w:gridCol w:w="4160"/>
      </w:tblGrid>
      <w:tr>
        <w:tc>
          <w:tcPr>
            <w:tcW w:type="dxa" w:w="3200"/>
            <w:shd w:fill="D6E4F0" w:val="clear"/>
            <w:tcMar>
              <w:top w:type="dxa" w:w="80"/>
              <w:start w:type="dxa" w:w="120"/>
              <w:bottom w:type="dxa" w:w="80"/>
              <w:end w:type="dxa" w:w="120"/>
            </w:tcMar>
          </w:tcPr>
          <w:p>
            <w:r>
              <w:rPr>
                <w:rFonts w:ascii="Arial" w:hAnsi="Arial"/>
                <w:b/>
                <w:bCs/>
                <w:sz w:val="22"/>
              </w:rPr>
              <w:t xml:space="preserve">PDF Permission</w:t>
            </w:r>
          </w:p>
        </w:tc>
        <w:tc>
          <w:tcPr>
            <w:tcW w:type="dxa" w:w="2000"/>
            <w:shd w:fill="D6E4F0" w:val="clear"/>
            <w:tcMar>
              <w:top w:type="dxa" w:w="80"/>
              <w:start w:type="dxa" w:w="120"/>
              <w:bottom w:type="dxa" w:w="80"/>
              <w:end w:type="dxa" w:w="120"/>
            </w:tcMar>
          </w:tcPr>
          <w:p>
            <w:r>
              <w:rPr>
                <w:rFonts w:ascii="Arial" w:hAnsi="Arial"/>
                <w:b/>
                <w:bCs/>
                <w:sz w:val="22"/>
              </w:rPr>
              <w:t xml:space="preserve">Value</w:t>
            </w:r>
          </w:p>
        </w:tc>
        <w:tc>
          <w:tcPr>
            <w:tcW w:type="dxa" w:w="4160"/>
            <w:shd w:fill="D6E4F0" w:val="clear"/>
            <w:tcMar>
              <w:top w:type="dxa" w:w="80"/>
              <w:start w:type="dxa" w:w="120"/>
              <w:bottom w:type="dxa" w:w="80"/>
              <w:end w:type="dxa" w:w="120"/>
            </w:tcMar>
          </w:tcPr>
          <w:p>
            <w:r>
              <w:rPr>
                <w:rFonts w:ascii="Arial" w:hAnsi="Arial"/>
                <w:b/>
                <w:bCs/>
                <w:sz w:val="22"/>
              </w:rPr>
              <w:t xml:space="preserve">Effect</w:t>
            </w:r>
          </w:p>
        </w:tc>
      </w:tr>
      <w:tr>
        <w:tc>
          <w:tcPr>
            <w:tcW w:type="dxa" w:w="3200"/>
            <w:shd w:fill="FFFFFF" w:val="clear"/>
            <w:tcMar>
              <w:top w:type="dxa" w:w="80"/>
              <w:start w:type="dxa" w:w="120"/>
              <w:bottom w:type="dxa" w:w="80"/>
              <w:end w:type="dxa" w:w="120"/>
            </w:tcMar>
          </w:tcPr>
          <w:p>
            <w:r>
              <w:rPr>
                <w:rFonts w:ascii="Arial" w:hAnsi="Arial"/>
                <w:sz w:val="20"/>
              </w:rPr>
              <w:t xml:space="preserve">Can Print</w:t>
            </w:r>
          </w:p>
        </w:tc>
        <w:tc>
          <w:tcPr>
            <w:tcW w:type="dxa" w:w="2000"/>
            <w:shd w:fill="FFFFFF" w:val="clear"/>
            <w:tcMar>
              <w:top w:type="dxa" w:w="80"/>
              <w:start w:type="dxa" w:w="120"/>
              <w:bottom w:type="dxa" w:w="80"/>
              <w:end w:type="dxa" w:w="120"/>
            </w:tcMar>
          </w:tcPr>
          <w:p>
            <w:r>
              <w:rPr>
                <w:rFonts w:ascii="Arial" w:hAnsi="Arial"/>
                <w:sz w:val="20"/>
              </w:rPr>
              <w:t xml:space="preserve">ALLOWED</w:t>
            </w:r>
          </w:p>
        </w:tc>
        <w:tc>
          <w:tcPr>
            <w:tcW w:type="dxa" w:w="4160"/>
            <w:shd w:fill="FFFFFF" w:val="clear"/>
            <w:tcMar>
              <w:top w:type="dxa" w:w="80"/>
              <w:start w:type="dxa" w:w="120"/>
              <w:bottom w:type="dxa" w:w="80"/>
              <w:end w:type="dxa" w:w="120"/>
            </w:tcMar>
          </w:tcPr>
          <w:p>
            <w:r>
              <w:rPr>
                <w:rFonts w:ascii="Arial" w:hAnsi="Arial"/>
                <w:sz w:val="20"/>
              </w:rPr>
              <w:t xml:space="preserve">Only permitted action for the taxpayer</w:t>
            </w:r>
          </w:p>
        </w:tc>
      </w:tr>
      <w:tr>
        <w:tc>
          <w:tcPr>
            <w:tcW w:type="dxa" w:w="3200"/>
            <w:shd w:fill="F2F2F2" w:val="clear"/>
            <w:tcMar>
              <w:top w:type="dxa" w:w="80"/>
              <w:start w:type="dxa" w:w="120"/>
              <w:bottom w:type="dxa" w:w="80"/>
              <w:end w:type="dxa" w:w="120"/>
            </w:tcMar>
          </w:tcPr>
          <w:p>
            <w:r>
              <w:rPr>
                <w:rFonts w:ascii="Arial" w:hAnsi="Arial"/>
                <w:sz w:val="20"/>
              </w:rPr>
              <w:t xml:space="preserve">Can Modify</w:t>
            </w:r>
          </w:p>
        </w:tc>
        <w:tc>
          <w:tcPr>
            <w:tcW w:type="dxa" w:w="2000"/>
            <w:shd w:fill="F2F2F2" w:val="clear"/>
            <w:tcMar>
              <w:top w:type="dxa" w:w="80"/>
              <w:start w:type="dxa" w:w="120"/>
              <w:bottom w:type="dxa" w:w="80"/>
              <w:end w:type="dxa" w:w="120"/>
            </w:tcMar>
          </w:tcPr>
          <w:p>
            <w:r>
              <w:rPr>
                <w:rFonts w:ascii="Arial" w:hAnsi="Arial"/>
                <w:sz w:val="20"/>
              </w:rPr>
              <w:t xml:space="preserve">BLOCKED</w:t>
            </w:r>
          </w:p>
        </w:tc>
        <w:tc>
          <w:tcPr>
            <w:tcW w:type="dxa" w:w="4160"/>
            <w:shd w:fill="F2F2F2" w:val="clear"/>
            <w:tcMar>
              <w:top w:type="dxa" w:w="80"/>
              <w:start w:type="dxa" w:w="120"/>
              <w:bottom w:type="dxa" w:w="80"/>
              <w:end w:type="dxa" w:w="120"/>
            </w:tcMar>
          </w:tcPr>
          <w:p>
            <w:r>
              <w:rPr>
                <w:rFonts w:ascii="Arial" w:hAnsi="Arial"/>
                <w:sz w:val="20"/>
              </w:rPr>
              <w:t xml:space="preserve">Cannot edit content</w:t>
            </w:r>
          </w:p>
        </w:tc>
      </w:tr>
      <w:tr>
        <w:tc>
          <w:tcPr>
            <w:tcW w:type="dxa" w:w="3200"/>
            <w:shd w:fill="FFFFFF" w:val="clear"/>
            <w:tcMar>
              <w:top w:type="dxa" w:w="80"/>
              <w:start w:type="dxa" w:w="120"/>
              <w:bottom w:type="dxa" w:w="80"/>
              <w:end w:type="dxa" w:w="120"/>
            </w:tcMar>
          </w:tcPr>
          <w:p>
            <w:r>
              <w:rPr>
                <w:rFonts w:ascii="Arial" w:hAnsi="Arial"/>
                <w:sz w:val="20"/>
              </w:rPr>
              <w:t xml:space="preserve">Can Modify Annotations</w:t>
            </w:r>
          </w:p>
        </w:tc>
        <w:tc>
          <w:tcPr>
            <w:tcW w:type="dxa" w:w="2000"/>
            <w:shd w:fill="FFFFFF" w:val="clear"/>
            <w:tcMar>
              <w:top w:type="dxa" w:w="80"/>
              <w:start w:type="dxa" w:w="120"/>
              <w:bottom w:type="dxa" w:w="80"/>
              <w:end w:type="dxa" w:w="120"/>
            </w:tcMar>
          </w:tcPr>
          <w:p>
            <w:r>
              <w:rPr>
                <w:rFonts w:ascii="Arial" w:hAnsi="Arial"/>
                <w:sz w:val="20"/>
              </w:rPr>
              <w:t xml:space="preserve">BLOCKED</w:t>
            </w:r>
          </w:p>
        </w:tc>
        <w:tc>
          <w:tcPr>
            <w:tcW w:type="dxa" w:w="4160"/>
            <w:shd w:fill="FFFFFF" w:val="clear"/>
            <w:tcMar>
              <w:top w:type="dxa" w:w="80"/>
              <w:start w:type="dxa" w:w="120"/>
              <w:bottom w:type="dxa" w:w="80"/>
              <w:end w:type="dxa" w:w="120"/>
            </w:tcMar>
          </w:tcPr>
          <w:p>
            <w:r>
              <w:rPr>
                <w:rFonts w:ascii="Arial" w:hAnsi="Arial"/>
                <w:sz w:val="20"/>
              </w:rPr>
              <w:t xml:space="preserve">Cannot add/change annotations</w:t>
            </w:r>
          </w:p>
        </w:tc>
      </w:tr>
      <w:tr>
        <w:tc>
          <w:tcPr>
            <w:tcW w:type="dxa" w:w="3200"/>
            <w:shd w:fill="F2F2F2" w:val="clear"/>
            <w:tcMar>
              <w:top w:type="dxa" w:w="80"/>
              <w:start w:type="dxa" w:w="120"/>
              <w:bottom w:type="dxa" w:w="80"/>
              <w:end w:type="dxa" w:w="120"/>
            </w:tcMar>
          </w:tcPr>
          <w:p>
            <w:r>
              <w:rPr>
                <w:rFonts w:ascii="Arial" w:hAnsi="Arial"/>
                <w:sz w:val="20"/>
              </w:rPr>
              <w:t xml:space="preserve">Can Fill In Form</w:t>
            </w:r>
          </w:p>
        </w:tc>
        <w:tc>
          <w:tcPr>
            <w:tcW w:type="dxa" w:w="2000"/>
            <w:shd w:fill="F2F2F2" w:val="clear"/>
            <w:tcMar>
              <w:top w:type="dxa" w:w="80"/>
              <w:start w:type="dxa" w:w="120"/>
              <w:bottom w:type="dxa" w:w="80"/>
              <w:end w:type="dxa" w:w="120"/>
            </w:tcMar>
          </w:tcPr>
          <w:p>
            <w:r>
              <w:rPr>
                <w:rFonts w:ascii="Arial" w:hAnsi="Arial"/>
                <w:sz w:val="20"/>
              </w:rPr>
              <w:t xml:space="preserve">BLOCKED</w:t>
            </w:r>
          </w:p>
        </w:tc>
        <w:tc>
          <w:tcPr>
            <w:tcW w:type="dxa" w:w="4160"/>
            <w:shd w:fill="F2F2F2" w:val="clear"/>
            <w:tcMar>
              <w:top w:type="dxa" w:w="80"/>
              <w:start w:type="dxa" w:w="120"/>
              <w:bottom w:type="dxa" w:w="80"/>
              <w:end w:type="dxa" w:w="120"/>
            </w:tcMar>
          </w:tcPr>
          <w:p>
            <w:r>
              <w:rPr>
                <w:rFonts w:ascii="Arial" w:hAnsi="Arial"/>
                <w:sz w:val="20"/>
              </w:rPr>
              <w:t xml:space="preserve">Cannot fill form fields</w:t>
            </w:r>
          </w:p>
        </w:tc>
      </w:tr>
      <w:tr>
        <w:tc>
          <w:tcPr>
            <w:tcW w:type="dxa" w:w="3200"/>
            <w:shd w:fill="FFFFFF" w:val="clear"/>
            <w:tcMar>
              <w:top w:type="dxa" w:w="80"/>
              <w:start w:type="dxa" w:w="120"/>
              <w:bottom w:type="dxa" w:w="80"/>
              <w:end w:type="dxa" w:w="120"/>
            </w:tcMar>
          </w:tcPr>
          <w:p>
            <w:r>
              <w:rPr>
                <w:rFonts w:ascii="Arial" w:hAnsi="Arial"/>
                <w:sz w:val="20"/>
              </w:rPr>
              <w:t xml:space="preserve">Can Extract Content</w:t>
            </w:r>
          </w:p>
        </w:tc>
        <w:tc>
          <w:tcPr>
            <w:tcW w:type="dxa" w:w="2000"/>
            <w:shd w:fill="FFFFFF" w:val="clear"/>
            <w:tcMar>
              <w:top w:type="dxa" w:w="80"/>
              <w:start w:type="dxa" w:w="120"/>
              <w:bottom w:type="dxa" w:w="80"/>
              <w:end w:type="dxa" w:w="120"/>
            </w:tcMar>
          </w:tcPr>
          <w:p>
            <w:r>
              <w:rPr>
                <w:rFonts w:ascii="Arial" w:hAnsi="Arial"/>
                <w:sz w:val="20"/>
              </w:rPr>
              <w:t xml:space="preserve">BLOCKED</w:t>
            </w:r>
          </w:p>
        </w:tc>
        <w:tc>
          <w:tcPr>
            <w:tcW w:type="dxa" w:w="4160"/>
            <w:shd w:fill="FFFFFF" w:val="clear"/>
            <w:tcMar>
              <w:top w:type="dxa" w:w="80"/>
              <w:start w:type="dxa" w:w="120"/>
              <w:bottom w:type="dxa" w:w="80"/>
              <w:end w:type="dxa" w:w="120"/>
            </w:tcMar>
          </w:tcPr>
          <w:p>
            <w:r>
              <w:rPr>
                <w:rFonts w:ascii="Arial" w:hAnsi="Arial"/>
                <w:sz w:val="20"/>
              </w:rPr>
              <w:t xml:space="preserve">Cannot copy/extract text or images</w:t>
            </w:r>
          </w:p>
        </w:tc>
      </w:tr>
      <w:tr>
        <w:tc>
          <w:tcPr>
            <w:tcW w:type="dxa" w:w="3200"/>
            <w:shd w:fill="F2F2F2" w:val="clear"/>
            <w:tcMar>
              <w:top w:type="dxa" w:w="80"/>
              <w:start w:type="dxa" w:w="120"/>
              <w:bottom w:type="dxa" w:w="80"/>
              <w:end w:type="dxa" w:w="120"/>
            </w:tcMar>
          </w:tcPr>
          <w:p>
            <w:r>
              <w:rPr>
                <w:rFonts w:ascii="Arial" w:hAnsi="Arial"/>
                <w:sz w:val="20"/>
              </w:rPr>
              <w:t xml:space="preserve">Can Extract for Accessibility</w:t>
            </w:r>
          </w:p>
        </w:tc>
        <w:tc>
          <w:tcPr>
            <w:tcW w:type="dxa" w:w="2000"/>
            <w:shd w:fill="F2F2F2" w:val="clear"/>
            <w:tcMar>
              <w:top w:type="dxa" w:w="80"/>
              <w:start w:type="dxa" w:w="120"/>
              <w:bottom w:type="dxa" w:w="80"/>
              <w:end w:type="dxa" w:w="120"/>
            </w:tcMar>
          </w:tcPr>
          <w:p>
            <w:r>
              <w:rPr>
                <w:rFonts w:ascii="Arial" w:hAnsi="Arial"/>
                <w:sz w:val="20"/>
              </w:rPr>
              <w:t xml:space="preserve">BLOCKED</w:t>
            </w:r>
          </w:p>
        </w:tc>
        <w:tc>
          <w:tcPr>
            <w:tcW w:type="dxa" w:w="4160"/>
            <w:shd w:fill="F2F2F2" w:val="clear"/>
            <w:tcMar>
              <w:top w:type="dxa" w:w="80"/>
              <w:start w:type="dxa" w:w="120"/>
              <w:bottom w:type="dxa" w:w="80"/>
              <w:end w:type="dxa" w:w="120"/>
            </w:tcMar>
          </w:tcPr>
          <w:p>
            <w:r>
              <w:rPr>
                <w:rFonts w:ascii="Arial" w:hAnsi="Arial"/>
                <w:sz w:val="20"/>
              </w:rPr>
              <w:t xml:space="preserve">Screen readers cannot extract content</w:t>
            </w:r>
          </w:p>
        </w:tc>
      </w:tr>
      <w:tr>
        <w:tc>
          <w:tcPr>
            <w:tcW w:type="dxa" w:w="3200"/>
            <w:shd w:fill="FFFFFF" w:val="clear"/>
            <w:tcMar>
              <w:top w:type="dxa" w:w="80"/>
              <w:start w:type="dxa" w:w="120"/>
              <w:bottom w:type="dxa" w:w="80"/>
              <w:end w:type="dxa" w:w="120"/>
            </w:tcMar>
          </w:tcPr>
          <w:p>
            <w:r>
              <w:rPr>
                <w:rFonts w:ascii="Arial" w:hAnsi="Arial"/>
                <w:sz w:val="20"/>
              </w:rPr>
              <w:t xml:space="preserve">Can Assemble Document</w:t>
            </w:r>
          </w:p>
        </w:tc>
        <w:tc>
          <w:tcPr>
            <w:tcW w:type="dxa" w:w="2000"/>
            <w:shd w:fill="FFFFFF" w:val="clear"/>
            <w:tcMar>
              <w:top w:type="dxa" w:w="80"/>
              <w:start w:type="dxa" w:w="120"/>
              <w:bottom w:type="dxa" w:w="80"/>
              <w:end w:type="dxa" w:w="120"/>
            </w:tcMar>
          </w:tcPr>
          <w:p>
            <w:r>
              <w:rPr>
                <w:rFonts w:ascii="Arial" w:hAnsi="Arial"/>
                <w:sz w:val="20"/>
              </w:rPr>
              <w:t xml:space="preserve">BLOCKED</w:t>
            </w:r>
          </w:p>
        </w:tc>
        <w:tc>
          <w:tcPr>
            <w:tcW w:type="dxa" w:w="4160"/>
            <w:shd w:fill="FFFFFF" w:val="clear"/>
            <w:tcMar>
              <w:top w:type="dxa" w:w="80"/>
              <w:start w:type="dxa" w:w="120"/>
              <w:bottom w:type="dxa" w:w="80"/>
              <w:end w:type="dxa" w:w="120"/>
            </w:tcMar>
          </w:tcPr>
          <w:p>
            <w:r>
              <w:rPr>
                <w:rFonts w:ascii="Arial" w:hAnsi="Arial"/>
                <w:sz w:val="20"/>
              </w:rPr>
              <w:t xml:space="preserve">Cannot insert/delete/rotate pages</w:t>
            </w:r>
          </w:p>
        </w:tc>
      </w:tr>
      <w:tr>
        <w:tc>
          <w:tcPr>
            <w:tcW w:type="dxa" w:w="3200"/>
            <w:shd w:fill="F2F2F2" w:val="clear"/>
            <w:tcMar>
              <w:top w:type="dxa" w:w="80"/>
              <w:start w:type="dxa" w:w="120"/>
              <w:bottom w:type="dxa" w:w="80"/>
              <w:end w:type="dxa" w:w="120"/>
            </w:tcMar>
          </w:tcPr>
          <w:p>
            <w:r>
              <w:rPr>
                <w:rFonts w:ascii="Arial" w:hAnsi="Arial"/>
                <w:sz w:val="20"/>
              </w:rPr>
              <w:t xml:space="preserve">Can Print (low resolution)</w:t>
            </w:r>
          </w:p>
        </w:tc>
        <w:tc>
          <w:tcPr>
            <w:tcW w:type="dxa" w:w="2000"/>
            <w:shd w:fill="F2F2F2" w:val="clear"/>
            <w:tcMar>
              <w:top w:type="dxa" w:w="80"/>
              <w:start w:type="dxa" w:w="120"/>
              <w:bottom w:type="dxa" w:w="80"/>
              <w:end w:type="dxa" w:w="120"/>
            </w:tcMar>
          </w:tcPr>
          <w:p>
            <w:r>
              <w:rPr>
                <w:rFonts w:ascii="Arial" w:hAnsi="Arial"/>
                <w:sz w:val="20"/>
              </w:rPr>
              <w:t xml:space="preserve">BLOCKED</w:t>
            </w:r>
          </w:p>
        </w:tc>
        <w:tc>
          <w:tcPr>
            <w:tcW w:type="dxa" w:w="4160"/>
            <w:shd w:fill="F2F2F2" w:val="clear"/>
            <w:tcMar>
              <w:top w:type="dxa" w:w="80"/>
              <w:start w:type="dxa" w:w="120"/>
              <w:bottom w:type="dxa" w:w="80"/>
              <w:end w:type="dxa" w:w="120"/>
            </w:tcMar>
          </w:tcPr>
          <w:p>
            <w:r>
              <w:rPr>
                <w:rFonts w:ascii="Arial" w:hAnsi="Arial"/>
                <w:sz w:val="20"/>
              </w:rPr>
              <w:t xml:space="preserve">Even degraded printing is blocked</w:t>
            </w:r>
          </w:p>
        </w:tc>
      </w:tr>
    </w:tbl>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2800"/>
        <w:gridCol w:w="3760"/>
      </w:tblGrid>
      <w:tr>
        <w:tc>
          <w:tcPr>
            <w:tcW w:type="dxa" w:w="2800"/>
            <w:shd w:fill="D6E4F0" w:val="clear"/>
            <w:tcMar>
              <w:top w:type="dxa" w:w="80"/>
              <w:start w:type="dxa" w:w="120"/>
              <w:bottom w:type="dxa" w:w="80"/>
              <w:end w:type="dxa" w:w="120"/>
            </w:tcMar>
          </w:tcPr>
          <w:p>
            <w:r>
              <w:rPr>
                <w:rFonts w:ascii="Arial" w:hAnsi="Arial"/>
                <w:b/>
                <w:bCs/>
                <w:sz w:val="22"/>
              </w:rPr>
              <w:t xml:space="preserve">IsPasswordProtect</w:t>
            </w:r>
          </w:p>
        </w:tc>
        <w:tc>
          <w:tcPr>
            <w:tcW w:type="dxa" w:w="2800"/>
            <w:shd w:fill="D6E4F0" w:val="clear"/>
            <w:tcMar>
              <w:top w:type="dxa" w:w="80"/>
              <w:start w:type="dxa" w:w="120"/>
              <w:bottom w:type="dxa" w:w="80"/>
              <w:end w:type="dxa" w:w="120"/>
            </w:tcMar>
          </w:tcPr>
          <w:p>
            <w:r>
              <w:rPr>
                <w:rFonts w:ascii="Arial" w:hAnsi="Arial"/>
                <w:b/>
                <w:bCs/>
                <w:sz w:val="22"/>
              </w:rPr>
              <w:t xml:space="preserve">Box filename pattern</w:t>
            </w:r>
          </w:p>
        </w:tc>
        <w:tc>
          <w:tcPr>
            <w:tcW w:type="dxa" w:w="3760"/>
            <w:shd w:fill="D6E4F0" w:val="clear"/>
            <w:tcMar>
              <w:top w:type="dxa" w:w="80"/>
              <w:start w:type="dxa" w:w="120"/>
              <w:bottom w:type="dxa" w:w="80"/>
              <w:end w:type="dxa" w:w="120"/>
            </w:tcMar>
          </w:tcPr>
          <w:p>
            <w:r>
              <w:rPr>
                <w:rFonts w:ascii="Arial" w:hAnsi="Arial"/>
                <w:b/>
                <w:bCs/>
                <w:sz w:val="22"/>
              </w:rPr>
              <w:t xml:space="preserve">Content</w:t>
            </w:r>
          </w:p>
        </w:tc>
      </w:tr>
      <w:tr>
        <w:tc>
          <w:tcPr>
            <w:tcW w:type="dxa" w:w="2800"/>
            <w:shd w:fill="FFFFFF" w:val="clear"/>
            <w:tcMar>
              <w:top w:type="dxa" w:w="80"/>
              <w:start w:type="dxa" w:w="120"/>
              <w:bottom w:type="dxa" w:w="80"/>
              <w:end w:type="dxa" w:w="120"/>
            </w:tcMar>
          </w:tcPr>
          <w:p>
            <w:r>
              <w:rPr>
                <w:rFonts w:ascii="Arial" w:hAnsi="Arial"/>
                <w:sz w:val="20"/>
              </w:rPr>
              <w:t xml:space="preserve">Yes (true)</w:t>
            </w:r>
          </w:p>
        </w:tc>
        <w:tc>
          <w:tcPr>
            <w:tcW w:type="dxa" w:w="2800"/>
            <w:shd w:fill="FFFFFF" w:val="clear"/>
            <w:tcMar>
              <w:top w:type="dxa" w:w="80"/>
              <w:start w:type="dxa" w:w="120"/>
              <w:bottom w:type="dxa" w:w="80"/>
              <w:end w:type="dxa" w:w="120"/>
            </w:tcMar>
          </w:tcPr>
          <w:p>
            <w:r>
              <w:rPr>
                <w:rFonts w:ascii="Arial" w:hAnsi="Arial"/>
                <w:sz w:val="20"/>
              </w:rPr>
              <w:t xml:space="preserve">DocumentName (SECURED).pdf</w:t>
            </w:r>
          </w:p>
        </w:tc>
        <w:tc>
          <w:tcPr>
            <w:tcW w:type="dxa" w:w="3760"/>
            <w:shd w:fill="FFFFFF" w:val="clear"/>
            <w:tcMar>
              <w:top w:type="dxa" w:w="80"/>
              <w:start w:type="dxa" w:w="120"/>
              <w:bottom w:type="dxa" w:w="80"/>
              <w:end w:type="dxa" w:w="120"/>
            </w:tcMar>
          </w:tcPr>
          <w:p>
            <w:r>
              <w:rPr>
                <w:rFonts w:ascii="Arial" w:hAnsi="Arial"/>
                <w:sz w:val="20"/>
              </w:rPr>
              <w:t xml:space="preserve">Password-encrypted. Requires Read/Write password. Print-only permissions.</w:t>
            </w:r>
          </w:p>
        </w:tc>
      </w:tr>
      <w:tr>
        <w:tc>
          <w:tcPr>
            <w:tcW w:type="dxa" w:w="2800"/>
            <w:shd w:fill="F2F2F2" w:val="clear"/>
            <w:tcMar>
              <w:top w:type="dxa" w:w="80"/>
              <w:start w:type="dxa" w:w="120"/>
              <w:bottom w:type="dxa" w:w="80"/>
              <w:end w:type="dxa" w:w="120"/>
            </w:tcMar>
          </w:tcPr>
          <w:p>
            <w:r>
              <w:rPr>
                <w:rFonts w:ascii="Arial" w:hAnsi="Arial"/>
                <w:sz w:val="20"/>
              </w:rPr>
              <w:t xml:space="preserve">No (false)</w:t>
            </w:r>
          </w:p>
        </w:tc>
        <w:tc>
          <w:tcPr>
            <w:tcW w:type="dxa" w:w="2800"/>
            <w:shd w:fill="F2F2F2" w:val="clear"/>
            <w:tcMar>
              <w:top w:type="dxa" w:w="80"/>
              <w:start w:type="dxa" w:w="120"/>
              <w:bottom w:type="dxa" w:w="80"/>
              <w:end w:type="dxa" w:w="120"/>
            </w:tcMar>
          </w:tcPr>
          <w:p>
            <w:r>
              <w:rPr>
                <w:rFonts w:ascii="Arial" w:hAnsi="Arial"/>
                <w:sz w:val="20"/>
              </w:rPr>
              <w:t xml:space="preserve">DocumentName (UNSECURED).pdf</w:t>
            </w:r>
          </w:p>
        </w:tc>
        <w:tc>
          <w:tcPr>
            <w:tcW w:type="dxa" w:w="3760"/>
            <w:shd w:fill="F2F2F2" w:val="clear"/>
            <w:tcMar>
              <w:top w:type="dxa" w:w="80"/>
              <w:start w:type="dxa" w:w="120"/>
              <w:bottom w:type="dxa" w:w="80"/>
              <w:end w:type="dxa" w:w="120"/>
            </w:tcMar>
          </w:tcPr>
          <w:p>
            <w:r>
              <w:rPr>
                <w:rFonts w:ascii="Arial" w:hAnsi="Arial"/>
                <w:sz w:val="20"/>
              </w:rPr>
              <w:t xml:space="preserve">Plain unencrypted PDF. No password required.</w:t>
            </w:r>
          </w:p>
        </w:tc>
      </w:tr>
    </w:tbl>
    <w:p>
      <w:pPr>
        <w:pStyle w:val="Heading1"/>
        <w:spacing w:after="160" w:before="360"/>
      </w:pPr>
      <w:r>
        <w:rPr>
          <w:rFonts w:ascii="Arial" w:cs="Arial" w:eastAsia="Arial" w:hAnsi="Arial"/>
          <w:b/>
          <w:bCs/>
          <w:color w:val="1F4E79"/>
          <w:sz w:val="32"/>
          <w:szCs w:val="32"/>
        </w:rPr>
        <w:t xml:space="preserve">7. Stage 3 — Clean Temp Folder</w:t>
      </w:r>
    </w:p>
    <w:p>
      <w:pPr>
        <w:pStyle w:val="Heading2"/>
        <w:spacing w:after="120" w:before="240"/>
      </w:pPr>
      <w:r>
        <w:rPr>
          <w:rFonts w:ascii="Arial" w:cs="Arial" w:eastAsia="Arial" w:hAnsi="Arial"/>
          <w:b/>
          <w:bCs/>
          <w:color w:val="1F4E79"/>
          <w:sz w:val="26"/>
          <w:szCs w:val="26"/>
        </w:rPr>
        <w:t xml:space="preserve">7.1 Business Purpose</w:t>
      </w:r>
    </w:p>
    <w:p>
      <w:pPr>
        <w:spacing w:after="120" w:before="0"/>
      </w:pPr>
      <w:r>
        <w:rPr>
          <w:rFonts w:ascii="Arial" w:cs="Arial" w:eastAsia="Arial" w:hAnsi="Arial"/>
          <w:b w:val="false"/>
          <w:bCs w:val="false"/>
          <w:color w:val="000000"/>
          <w:sz w:val="22"/>
          <w:szCs w:val="22"/>
        </w:rPr>
        <w:t xml:space="preserve">Once all documents have been successfully moved to their permanent locations, the system deletes the temporary staging folder in Box to prevent clutter and unnecessary storage usage.</w:t>
      </w:r>
    </w:p>
    <w:p>
      <w:pPr>
        <w:pStyle w:val="Heading2"/>
        <w:spacing w:after="120" w:before="240"/>
      </w:pPr>
      <w:r>
        <w:rPr>
          <w:rFonts w:ascii="Arial" w:cs="Arial" w:eastAsia="Arial" w:hAnsi="Arial"/>
          <w:b/>
          <w:bCs/>
          <w:color w:val="1F4E79"/>
          <w:sz w:val="26"/>
          <w:szCs w:val="26"/>
        </w:rPr>
        <w:t xml:space="preserve">7.2 Automated Actions</w:t>
      </w:r>
    </w:p>
    <w:p>
      <w:pPr>
        <w:pStyle w:val="ListParagraph"/>
        <w:numPr>
          <w:ilvl w:val="0"/>
          <w:numId w:val="2"/>
        </w:numPr>
        <w:spacing w:after="80"/>
      </w:pPr>
      <w:r>
        <w:rPr>
          <w:rFonts w:ascii="Arial" w:cs="Arial" w:eastAsia="Arial" w:hAnsi="Arial"/>
          <w:sz w:val="22"/>
          <w:szCs w:val="22"/>
        </w:rPr>
        <w:t xml:space="preserve">PopulateBoxFileURL: retrieves and stores the final permanent Box URL for each moved file on the document record</w:t>
      </w:r>
    </w:p>
    <w:p>
      <w:pPr>
        <w:pStyle w:val="ListParagraph"/>
        <w:numPr>
          <w:ilvl w:val="0"/>
          <w:numId w:val="2"/>
        </w:numPr>
        <w:spacing w:after="80"/>
      </w:pPr>
      <w:r>
        <w:rPr>
          <w:rFonts w:ascii="Arial" w:cs="Arial" w:eastAsia="Arial" w:hAnsi="Arial"/>
          <w:sz w:val="22"/>
          <w:szCs w:val="22"/>
        </w:rPr>
        <w:t xml:space="preserve">ProvideCollaboratorAccess ×2 (with a 5-minute wait after each call): grants the taxpayer 'previewer' role on the client-facing Box folder — once for PersonalEmail, once for PDSEmail</w:t>
      </w:r>
    </w:p>
    <w:p>
      <w:pPr>
        <w:pStyle w:val="ListParagraph"/>
        <w:numPr>
          <w:ilvl w:val="0"/>
          <w:numId w:val="2"/>
        </w:numPr>
        <w:spacing w:after="80"/>
      </w:pPr>
      <w:r>
        <w:rPr>
          <w:rFonts w:ascii="Arial" w:cs="Arial" w:eastAsia="Arial" w:hAnsi="Arial"/>
          <w:sz w:val="22"/>
          <w:szCs w:val="22"/>
        </w:rPr>
        <w:t xml:space="preserve">DeleteTempFolder: the staging temp folder is deleted from Box using the stored temp folder ID</w:t>
      </w:r>
    </w:p>
    <w:p>
      <w:r>
        <w:br w:type="page"/>
      </w:r>
    </w:p>
    <w:p>
      <w:pPr>
        <w:pStyle w:val="Heading1"/>
        <w:spacing w:after="160" w:before="360"/>
      </w:pPr>
      <w:r>
        <w:rPr>
          <w:rFonts w:ascii="Arial" w:cs="Arial" w:eastAsia="Arial" w:hAnsi="Arial"/>
          <w:b/>
          <w:bCs/>
          <w:color w:val="1F4E79"/>
          <w:sz w:val="32"/>
          <w:szCs w:val="32"/>
        </w:rPr>
        <w:t xml:space="preserve">8. Stage 4 — Resolution</w:t>
      </w:r>
    </w:p>
    <w:p>
      <w:pPr>
        <w:spacing w:after="120" w:before="0"/>
      </w:pPr>
      <w:r>
        <w:rPr>
          <w:rFonts w:ascii="Arial" w:cs="Arial" w:eastAsia="Arial" w:hAnsi="Arial"/>
          <w:b w:val="false"/>
          <w:bCs w:val="false"/>
          <w:color w:val="000000"/>
          <w:sz w:val="22"/>
          <w:szCs w:val="22"/>
        </w:rPr>
        <w:t xml:space="preserve">The terminal state of the record. Work status is set to Resolved-Completed. The record becomes read-only. All history and audit events remain visible. No further actions are possible from this state.</w:t>
      </w:r>
    </w:p>
    <w:p>
      <w:r>
        <w:br w:type="page"/>
      </w:r>
    </w:p>
    <w:p>
      <w:pPr>
        <w:pStyle w:val="Heading1"/>
        <w:spacing w:after="160" w:before="360"/>
      </w:pPr>
      <w:r>
        <w:rPr>
          <w:rFonts w:ascii="Arial" w:cs="Arial" w:eastAsia="Arial" w:hAnsi="Arial"/>
          <w:b/>
          <w:bCs/>
          <w:color w:val="1F4E79"/>
          <w:sz w:val="32"/>
          <w:szCs w:val="32"/>
        </w:rPr>
        <w:t xml:space="preserve">9. Removal / Exit Paths</w:t>
      </w:r>
    </w:p>
    <w:p>
      <w:pPr>
        <w:pStyle w:val="Heading2"/>
        <w:spacing w:after="120" w:before="240"/>
      </w:pPr>
      <w:r>
        <w:rPr>
          <w:rFonts w:ascii="Arial" w:cs="Arial" w:eastAsia="Arial" w:hAnsi="Arial"/>
          <w:b/>
          <w:bCs/>
          <w:color w:val="1F4E79"/>
          <w:sz w:val="26"/>
          <w:szCs w:val="26"/>
        </w:rPr>
        <w:t xml:space="preserve">9.1 Cancel / Withdraw (Administrator Only)</w:t>
      </w:r>
    </w:p>
    <w:p>
      <w:pPr>
        <w:spacing w:after="120" w:before="0"/>
      </w:pPr>
      <w:r>
        <w:rPr>
          <w:rFonts w:ascii="Arial" w:cs="Arial" w:eastAsia="Arial" w:hAnsi="Arial"/>
          <w:b w:val="false"/>
          <w:bCs w:val="false"/>
          <w:color w:val="000000"/>
          <w:sz w:val="22"/>
          <w:szCs w:val="22"/>
        </w:rPr>
        <w:t xml:space="preserve">At any stage, an Administrator may permanently cancel or withdraw a routing record. This action is irreversible.</w:t>
      </w:r>
    </w:p>
    <w:p>
      <w:pPr>
        <w:pStyle w:val="Heading3"/>
        <w:spacing w:after="100" w:before="180"/>
      </w:pPr>
      <w:r>
        <w:rPr>
          <w:rFonts w:ascii="Arial" w:cs="Arial" w:eastAsia="Arial" w:hAnsi="Arial"/>
          <w:b/>
          <w:bCs/>
          <w:color w:val="2E75B6"/>
          <w:sz w:val="24"/>
          <w:szCs w:val="24"/>
        </w:rPr>
        <w:t xml:space="preserve">Cancellation Form (modal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Field</w:t>
            </w:r>
          </w:p>
        </w:tc>
        <w:tc>
          <w:tcPr>
            <w:tcW w:type="dxa" w:w="16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Type</w:t>
            </w:r>
          </w:p>
        </w:tc>
        <w:tc>
          <w:tcPr>
            <w:tcW w:type="dxa" w:w="12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Required</w:t>
            </w:r>
          </w:p>
        </w:tc>
        <w:tc>
          <w:tcPr>
            <w:tcW w:type="dxa" w:w="41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Resolution Status</w:t>
            </w:r>
          </w:p>
        </w:tc>
        <w:tc>
          <w:tcPr>
            <w:tcW w:type="dxa" w:w="16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Select the reason category (Cancelled, Withdrawn, etc.)</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Comments</w:t>
            </w:r>
          </w:p>
        </w:tc>
        <w:tc>
          <w:tcPr>
            <w:tcW w:type="dxa" w:w="16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Text area</w:t>
            </w:r>
          </w:p>
        </w:tc>
        <w:tc>
          <w:tcPr>
            <w:tcW w:type="dxa" w:w="1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Free-text reason for closure, written permanently to audit trail</w:t>
            </w:r>
          </w:p>
        </w:tc>
      </w:tr>
    </w:tbl>
    <w:p>
      <w:pPr>
        <w:spacing w:after="120"/>
      </w:pPr>
    </w:p>
    <w:p>
      <w:pPr>
        <w:pStyle w:val="Heading3"/>
        <w:spacing w:after="100" w:before="180"/>
      </w:pPr>
      <w:r>
        <w:rPr>
          <w:rFonts w:ascii="Arial" w:cs="Arial" w:eastAsia="Arial" w:hAnsi="Arial"/>
          <w:b/>
          <w:bCs/>
          <w:color w:val="2E75B6"/>
          <w:sz w:val="24"/>
          <w:szCs w:val="24"/>
        </w:rPr>
        <w:t xml:space="preserve">On Submit</w:t>
      </w:r>
    </w:p>
    <w:p>
      <w:pPr>
        <w:pStyle w:val="ListParagraph"/>
        <w:numPr>
          <w:ilvl w:val="0"/>
          <w:numId w:val="2"/>
        </w:numPr>
        <w:spacing w:after="80"/>
      </w:pPr>
      <w:r>
        <w:rPr>
          <w:rFonts w:ascii="Arial" w:cs="Arial" w:eastAsia="Arial" w:hAnsi="Arial"/>
          <w:sz w:val="22"/>
          <w:szCs w:val="22"/>
        </w:rPr>
        <w:t xml:space="preserve">Resolution status is set to the selected value</w:t>
      </w:r>
    </w:p>
    <w:p>
      <w:pPr>
        <w:pStyle w:val="ListParagraph"/>
        <w:numPr>
          <w:ilvl w:val="0"/>
          <w:numId w:val="2"/>
        </w:numPr>
        <w:spacing w:after="80"/>
      </w:pPr>
      <w:r>
        <w:rPr>
          <w:rFonts w:ascii="Arial" w:cs="Arial" w:eastAsia="Arial" w:hAnsi="Arial"/>
          <w:sz w:val="22"/>
          <w:szCs w:val="22"/>
        </w:rPr>
        <w:t xml:space="preserve">Comments are written permanently to the audit trail</w:t>
      </w:r>
    </w:p>
    <w:p>
      <w:pPr>
        <w:pStyle w:val="ListParagraph"/>
        <w:numPr>
          <w:ilvl w:val="0"/>
          <w:numId w:val="2"/>
        </w:numPr>
        <w:spacing w:after="80"/>
      </w:pPr>
      <w:r>
        <w:rPr>
          <w:rFonts w:ascii="Arial" w:cs="Arial" w:eastAsia="Arial" w:hAnsi="Arial"/>
          <w:sz w:val="22"/>
          <w:szCs w:val="22"/>
        </w:rPr>
        <w:t xml:space="preserve">Record is immediately and irreversibly closed</w:t>
      </w:r>
    </w:p>
    <w:p>
      <w:pPr>
        <w:pStyle w:val="ListParagraph"/>
        <w:numPr>
          <w:ilvl w:val="0"/>
          <w:numId w:val="2"/>
        </w:numPr>
        <w:spacing w:after="80"/>
      </w:pPr>
      <w:r>
        <w:rPr>
          <w:rFonts w:ascii="Arial" w:cs="Arial" w:eastAsia="Arial" w:hAnsi="Arial"/>
          <w:sz w:val="22"/>
          <w:szCs w:val="22"/>
        </w:rPr>
        <w:t xml:space="preserve">All sub-records are also closed</w:t>
      </w:r>
    </w:p>
    <w:p>
      <w:pPr>
        <w:pStyle w:val="ListParagraph"/>
        <w:numPr>
          <w:ilvl w:val="0"/>
          <w:numId w:val="2"/>
        </w:numPr>
        <w:spacing w:after="80"/>
      </w:pPr>
      <w:r>
        <w:rPr>
          <w:rFonts w:ascii="Arial" w:cs="Arial" w:eastAsia="Arial" w:hAnsi="Arial"/>
          <w:sz w:val="22"/>
          <w:szCs w:val="22"/>
        </w:rPr>
        <w:t xml:space="preserve">History is updated with the closure event</w:t>
      </w:r>
    </w:p>
    <w:p>
      <w:pPr>
        <w:spacing w:after="120"/>
      </w:pPr>
    </w:p>
    <w:p>
      <w:pPr>
        <w:spacing w:after="120" w:before="0"/>
      </w:pPr>
      <w:r>
        <w:rPr>
          <w:rFonts w:ascii="Arial" w:cs="Arial" w:eastAsia="Arial" w:hAnsi="Arial"/>
          <w:b w:val="false"/>
          <w:bCs w:val="false"/>
          <w:color w:val="000000"/>
          <w:sz w:val="22"/>
          <w:szCs w:val="22"/>
        </w:rPr>
        <w:t xml:space="preserve">There is no reopen path. If the work needs to be restarted, a new routing record must be created from scratch.</w:t>
      </w:r>
    </w:p>
    <w:p>
      <w:pPr>
        <w:pStyle w:val="Heading2"/>
        <w:spacing w:after="120" w:before="240"/>
      </w:pPr>
      <w:r>
        <w:rPr>
          <w:rFonts w:ascii="Arial" w:cs="Arial" w:eastAsia="Arial" w:hAnsi="Arial"/>
          <w:b/>
          <w:bCs/>
          <w:color w:val="1F4E79"/>
          <w:sz w:val="26"/>
          <w:szCs w:val="26"/>
        </w:rPr>
        <w:t xml:space="preserve">9.2 No Other Exit Paths</w:t>
      </w:r>
    </w:p>
    <w:p>
      <w:pPr>
        <w:spacing w:after="120" w:before="0"/>
      </w:pPr>
      <w:r>
        <w:rPr>
          <w:rFonts w:ascii="Arial" w:cs="Arial" w:eastAsia="Arial" w:hAnsi="Arial"/>
          <w:b w:val="false"/>
          <w:bCs w:val="false"/>
          <w:color w:val="000000"/>
          <w:sz w:val="22"/>
          <w:szCs w:val="22"/>
        </w:rPr>
        <w:t xml:space="preserve">There is no self-service cancellation for Standard Users. There is no expiry or automatic timeout that closes records. Records remain open until completed through the normal workflow or cancelled by an Administrator.</w:t>
      </w:r>
    </w:p>
    <w:p>
      <w:r>
        <w:br w:type="page"/>
      </w:r>
    </w:p>
    <w:p>
      <w:pPr>
        <w:pStyle w:val="Heading1"/>
        <w:spacing w:after="160" w:before="360"/>
      </w:pPr>
      <w:r>
        <w:rPr>
          <w:rFonts w:ascii="Arial" w:cs="Arial" w:eastAsia="Arial" w:hAnsi="Arial"/>
          <w:b/>
          <w:bCs/>
          <w:color w:val="1F4E79"/>
          <w:sz w:val="32"/>
          <w:szCs w:val="32"/>
        </w:rPr>
        <w:t xml:space="preserve">10. Stage Transition Business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Rule</w:t>
            </w:r>
          </w:p>
        </w:tc>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Trigger</w:t>
            </w:r>
          </w:p>
        </w:tc>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Condition</w:t>
            </w:r>
          </w:p>
        </w:tc>
        <w:tc>
          <w:tcPr>
            <w:tcW w:type="dxa" w:w="3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Temp folder required before form</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New record created</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w:t>
            </w:r>
          </w:p>
        </w:tc>
        <w:tc>
          <w:tcPr>
            <w:tcW w:type="dxa" w:w="3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Create temp Box folder; if fails, route to exception queue and start SLA timer</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folder must be verified</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Staff submits Taxpayer Information</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Always</w:t>
            </w:r>
          </w:p>
        </w:tc>
        <w:tc>
          <w:tcPr>
            <w:tcW w:type="dxa" w:w="3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Check Box folder URL; block progression if not found</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Re-enter URL loop</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folder not found</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ClientFolderExist = false</w:t>
            </w:r>
          </w:p>
        </w:tc>
        <w:tc>
          <w:tcPr>
            <w:tcW w:type="dxa" w:w="3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Show re-entry screen; retry until verified</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Cancel requires Admin role</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Cancel/Withdrawal action selected</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User is not an Administrator</w:t>
            </w:r>
          </w:p>
        </w:tc>
        <w:tc>
          <w:tcPr>
            <w:tcW w:type="dxa" w:w="3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Hide action; block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All stage transitions are automatic</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System completes each stage</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w:t>
            </w:r>
          </w:p>
        </w:tc>
        <w:tc>
          <w:tcPr>
            <w:tcW w:type="dxa" w:w="3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Automatically advance without manual gate after Stage 1 confirmation</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Duplicate document warning</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Document added to list</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Same type + year + name already exists</w:t>
            </w:r>
          </w:p>
        </w:tc>
        <w:tc>
          <w:tcPr>
            <w:tcW w:type="dxa" w:w="3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Warn staff; require confirmation before saving</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Entity fields required for entity docs</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Entity Type selected</w:t>
            </w:r>
          </w:p>
        </w:tc>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EntityType is not empty</w:t>
            </w:r>
          </w:p>
        </w:tc>
        <w:tc>
          <w:tcPr>
            <w:tcW w:type="dxa" w:w="3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Require EntityName and EntityTypeNumber</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Hard close covers all sub-records</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Admin submits cancellation</w:t>
            </w:r>
          </w:p>
        </w:tc>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Always</w:t>
            </w:r>
          </w:p>
        </w:tc>
        <w:tc>
          <w:tcPr>
            <w:tcW w:type="dxa" w:w="3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Close record and all sub-records immediately; write reason to audit trail</w:t>
            </w:r>
          </w:p>
        </w:tc>
      </w:tr>
    </w:tbl>
    <w:p>
      <w:r>
        <w:br w:type="page"/>
      </w:r>
    </w:p>
    <w:p>
      <w:pPr>
        <w:pStyle w:val="Heading1"/>
        <w:spacing w:after="160" w:before="360"/>
      </w:pPr>
      <w:r>
        <w:rPr>
          <w:rFonts w:ascii="Arial" w:cs="Arial" w:eastAsia="Arial" w:hAnsi="Arial"/>
          <w:b/>
          <w:bCs/>
          <w:color w:val="1F4E79"/>
          <w:sz w:val="32"/>
          <w:szCs w:val="32"/>
        </w:rPr>
        <w:t xml:space="preserve">11. Post-Save Business Logic</w:t>
      </w:r>
    </w:p>
    <w:p>
      <w:pPr>
        <w:pStyle w:val="Heading2"/>
        <w:spacing w:after="120" w:before="240"/>
      </w:pPr>
      <w:r>
        <w:rPr>
          <w:rFonts w:ascii="Arial" w:cs="Arial" w:eastAsia="Arial" w:hAnsi="Arial"/>
          <w:b/>
          <w:bCs/>
          <w:color w:val="1F4E79"/>
          <w:sz w:val="26"/>
          <w:szCs w:val="26"/>
        </w:rPr>
        <w:t xml:space="preserve">On New Record Creation</w:t>
      </w:r>
    </w:p>
    <w:p>
      <w:pPr>
        <w:spacing w:after="0" w:before="0"/>
      </w:pPr>
      <w:r>
        <w:rPr>
          <w:rFonts w:ascii="Courier New" w:cs="Courier New" w:eastAsia="Courier New" w:hAnsi="Courier New"/>
          <w:color w:val="2B2B2B"/>
          <w:sz w:val="18"/>
          <w:szCs w:val="18"/>
        </w:rPr>
        <w:t xml:space="preserve">CALL Box API: Create temporary staging folder</w:t>
      </w:r>
    </w:p>
    <w:p>
      <w:pPr>
        <w:spacing w:after="0" w:before="0"/>
      </w:pPr>
      <w:r>
        <w:rPr>
          <w:rFonts w:ascii="Courier New" w:cs="Courier New" w:eastAsia="Courier New" w:hAnsi="Courier New"/>
          <w:color w:val="2B2B2B"/>
          <w:sz w:val="18"/>
          <w:szCs w:val="18"/>
        </w:rPr>
        <w:t xml:space="preserve">IF success:</w:t>
      </w:r>
    </w:p>
    <w:p>
      <w:pPr>
        <w:spacing w:after="0" w:before="0"/>
      </w:pPr>
      <w:r>
        <w:rPr>
          <w:rFonts w:ascii="Courier New" w:cs="Courier New" w:eastAsia="Courier New" w:hAnsi="Courier New"/>
          <w:color w:val="2B2B2B"/>
          <w:sz w:val="18"/>
          <w:szCs w:val="18"/>
        </w:rPr>
        <w:t xml:space="preserve">    Store temp folder ID on record</w:t>
      </w:r>
    </w:p>
    <w:p>
      <w:pPr>
        <w:spacing w:after="0" w:before="0"/>
      </w:pPr>
      <w:r>
        <w:rPr>
          <w:rFonts w:ascii="Courier New" w:cs="Courier New" w:eastAsia="Courier New" w:hAnsi="Courier New"/>
          <w:color w:val="2B2B2B"/>
          <w:sz w:val="18"/>
          <w:szCs w:val="18"/>
        </w:rPr>
        <w:t xml:space="preserve">    Display Taxpayer Information form to staff member</w:t>
      </w:r>
    </w:p>
    <w:p>
      <w:pPr>
        <w:spacing w:after="0" w:before="0"/>
      </w:pPr>
      <w:r>
        <w:rPr>
          <w:rFonts w:ascii="Courier New" w:cs="Courier New" w:eastAsia="Courier New" w:hAnsi="Courier New"/>
          <w:color w:val="2B2B2B"/>
          <w:sz w:val="18"/>
          <w:szCs w:val="18"/>
        </w:rPr>
        <w:t xml:space="preserve">IF failure:</w:t>
      </w:r>
    </w:p>
    <w:p>
      <w:pPr>
        <w:spacing w:after="0" w:before="0"/>
      </w:pPr>
      <w:r>
        <w:rPr>
          <w:rFonts w:ascii="Courier New" w:cs="Courier New" w:eastAsia="Courier New" w:hAnsi="Courier New"/>
          <w:color w:val="2B2B2B"/>
          <w:sz w:val="18"/>
          <w:szCs w:val="18"/>
        </w:rPr>
        <w:t xml:space="preserve">    Route record to exception queue</w:t>
      </w:r>
    </w:p>
    <w:p>
      <w:pPr>
        <w:spacing w:after="0" w:before="0"/>
      </w:pPr>
      <w:r>
        <w:rPr>
          <w:rFonts w:ascii="Courier New" w:cs="Courier New" w:eastAsia="Courier New" w:hAnsi="Courier New"/>
          <w:color w:val="2B2B2B"/>
          <w:sz w:val="18"/>
          <w:szCs w:val="18"/>
        </w:rPr>
        <w:t xml:space="preserve">    Start SLA timer</w:t>
      </w:r>
    </w:p>
    <w:p>
      <w:pPr>
        <w:spacing w:after="0" w:before="0"/>
      </w:pPr>
      <w:r>
        <w:rPr>
          <w:rFonts w:ascii="Courier New" w:cs="Courier New" w:eastAsia="Courier New" w:hAnsi="Courier New"/>
          <w:color w:val="2B2B2B"/>
          <w:sz w:val="18"/>
          <w:szCs w:val="18"/>
        </w:rPr>
        <w:t xml:space="preserve">    Send exception notification email to staff team</w:t>
      </w:r>
    </w:p>
    <w:p>
      <w:pPr>
        <w:spacing w:after="120"/>
      </w:pPr>
    </w:p>
    <w:p>
      <w:pPr>
        <w:pStyle w:val="Heading2"/>
        <w:spacing w:after="120" w:before="240"/>
      </w:pPr>
      <w:r>
        <w:rPr>
          <w:rFonts w:ascii="Arial" w:cs="Arial" w:eastAsia="Arial" w:hAnsi="Arial"/>
          <w:b/>
          <w:bCs/>
          <w:color w:val="1F4E79"/>
          <w:sz w:val="26"/>
          <w:szCs w:val="26"/>
        </w:rPr>
        <w:t xml:space="preserve">On Confirmation Screen Submit (Stage 1 → Stage 2)</w:t>
      </w:r>
    </w:p>
    <w:p>
      <w:pPr>
        <w:spacing w:after="0" w:before="0"/>
      </w:pPr>
      <w:r>
        <w:rPr>
          <w:rFonts w:ascii="Courier New" w:cs="Courier New" w:eastAsia="Courier New" w:hAnsi="Courier New"/>
          <w:color w:val="2B2B2B"/>
          <w:sz w:val="18"/>
          <w:szCs w:val="18"/>
        </w:rPr>
        <w:t xml:space="preserve">CALL Box API: Verify client folder URL exists</w:t>
      </w:r>
    </w:p>
    <w:p>
      <w:pPr>
        <w:spacing w:after="0" w:before="0"/>
      </w:pPr>
      <w:r>
        <w:rPr>
          <w:rFonts w:ascii="Courier New" w:cs="Courier New" w:eastAsia="Courier New" w:hAnsi="Courier New"/>
          <w:color w:val="2B2B2B"/>
          <w:sz w:val="18"/>
          <w:szCs w:val="18"/>
        </w:rPr>
        <w:t xml:space="preserve">IF ClientFolderExist = true:</w:t>
      </w:r>
    </w:p>
    <w:p>
      <w:pPr>
        <w:spacing w:after="0" w:before="0"/>
      </w:pPr>
      <w:r>
        <w:rPr>
          <w:rFonts w:ascii="Courier New" w:cs="Courier New" w:eastAsia="Courier New" w:hAnsi="Courier New"/>
          <w:color w:val="2B2B2B"/>
          <w:sz w:val="18"/>
          <w:szCs w:val="18"/>
        </w:rPr>
        <w:t xml:space="preserve">    CALL UpdatePayerRef_Info (update Box credentials for this client)</w:t>
      </w:r>
    </w:p>
    <w:p>
      <w:pPr>
        <w:spacing w:after="0" w:before="0"/>
      </w:pPr>
      <w:r>
        <w:rPr>
          <w:rFonts w:ascii="Courier New" w:cs="Courier New" w:eastAsia="Courier New" w:hAnsi="Courier New"/>
          <w:color w:val="2B2B2B"/>
          <w:sz w:val="18"/>
          <w:szCs w:val="18"/>
        </w:rPr>
        <w:t xml:space="preserve">    Advance record to Stage 2 (PDF Processing)</w:t>
      </w:r>
    </w:p>
    <w:p>
      <w:pPr>
        <w:spacing w:after="0" w:before="0"/>
      </w:pPr>
      <w:r>
        <w:rPr>
          <w:rFonts w:ascii="Courier New" w:cs="Courier New" w:eastAsia="Courier New" w:hAnsi="Courier New"/>
          <w:color w:val="2B2B2B"/>
          <w:sz w:val="18"/>
          <w:szCs w:val="18"/>
        </w:rPr>
        <w:t xml:space="preserve">IF ClientFolderExist = false:</w:t>
      </w:r>
    </w:p>
    <w:p>
      <w:pPr>
        <w:spacing w:after="0" w:before="0"/>
      </w:pPr>
      <w:r>
        <w:rPr>
          <w:rFonts w:ascii="Courier New" w:cs="Courier New" w:eastAsia="Courier New" w:hAnsi="Courier New"/>
          <w:color w:val="2B2B2B"/>
          <w:sz w:val="18"/>
          <w:szCs w:val="18"/>
        </w:rPr>
        <w:t xml:space="preserve">    Display Re-enter URL screen</w:t>
      </w:r>
    </w:p>
    <w:p>
      <w:pPr>
        <w:spacing w:after="0" w:before="0"/>
      </w:pPr>
      <w:r>
        <w:rPr>
          <w:rFonts w:ascii="Courier New" w:cs="Courier New" w:eastAsia="Courier New" w:hAnsi="Courier New"/>
          <w:color w:val="2B2B2B"/>
          <w:sz w:val="18"/>
          <w:szCs w:val="18"/>
        </w:rPr>
        <w:t xml:space="preserve">    Wait for staff to correct the URL</w:t>
      </w:r>
    </w:p>
    <w:p>
      <w:pPr>
        <w:spacing w:after="0" w:before="0"/>
      </w:pPr>
      <w:r>
        <w:rPr>
          <w:rFonts w:ascii="Courier New" w:cs="Courier New" w:eastAsia="Courier New" w:hAnsi="Courier New"/>
          <w:color w:val="2B2B2B"/>
          <w:sz w:val="18"/>
          <w:szCs w:val="18"/>
        </w:rPr>
        <w:t xml:space="preserve">    Retry verification loop</w:t>
      </w:r>
    </w:p>
    <w:p>
      <w:pPr>
        <w:spacing w:after="120"/>
      </w:pPr>
    </w:p>
    <w:p>
      <w:pPr>
        <w:pStyle w:val="Heading2"/>
        <w:spacing w:after="120" w:before="240"/>
      </w:pPr>
      <w:r>
        <w:rPr>
          <w:rFonts w:ascii="Arial" w:cs="Arial" w:eastAsia="Arial" w:hAnsi="Arial"/>
          <w:b/>
          <w:bCs/>
          <w:color w:val="1F4E79"/>
          <w:sz w:val="26"/>
          <w:szCs w:val="26"/>
        </w:rPr>
        <w:t xml:space="preserve">On PDF Processing (Stage 2)</w:t>
      </w:r>
    </w:p>
    <w:p>
      <w:pPr>
        <w:spacing w:after="0" w:before="0"/>
      </w:pPr>
      <w:r>
        <w:rPr>
          <w:rFonts w:ascii="Courier New" w:cs="Courier New" w:eastAsia="Courier New" w:hAnsi="Courier New"/>
          <w:color w:val="2B2B2B"/>
          <w:sz w:val="18"/>
          <w:szCs w:val="18"/>
        </w:rPr>
        <w:t xml:space="preserve">FOR EACH document in the record:</w:t>
      </w:r>
    </w:p>
    <w:p>
      <w:pPr>
        <w:spacing w:after="0" w:before="0"/>
      </w:pPr>
      <w:r>
        <w:rPr>
          <w:rFonts w:ascii="Courier New" w:cs="Courier New" w:eastAsia="Courier New" w:hAnsi="Courier New"/>
          <w:color w:val="2B2B2B"/>
          <w:sz w:val="18"/>
          <w:szCs w:val="18"/>
        </w:rPr>
        <w:t xml:space="preserve">    IF IsPasswordProtect = true:</w:t>
      </w:r>
    </w:p>
    <w:p>
      <w:pPr>
        <w:spacing w:after="0" w:before="0"/>
      </w:pPr>
      <w:r>
        <w:rPr>
          <w:rFonts w:ascii="Courier New" w:cs="Courier New" w:eastAsia="Courier New" w:hAnsi="Courier New"/>
          <w:color w:val="2B2B2B"/>
          <w:sz w:val="18"/>
          <w:szCs w:val="18"/>
        </w:rPr>
        <w:t xml:space="preserve">        CALL Box API: Apply PDF password protection</w:t>
      </w:r>
    </w:p>
    <w:p>
      <w:pPr>
        <w:spacing w:after="0" w:before="0"/>
      </w:pPr>
      <w:r>
        <w:rPr>
          <w:rFonts w:ascii="Courier New" w:cs="Courier New" w:eastAsia="Courier New" w:hAnsi="Courier New"/>
          <w:color w:val="2B2B2B"/>
          <w:sz w:val="18"/>
          <w:szCs w:val="18"/>
        </w:rPr>
        <w:t xml:space="preserve">    CALL Box API: Move file from temp to external permanent folder</w:t>
      </w:r>
    </w:p>
    <w:p>
      <w:pPr>
        <w:spacing w:after="0" w:before="0"/>
      </w:pPr>
      <w:r>
        <w:rPr>
          <w:rFonts w:ascii="Courier New" w:cs="Courier New" w:eastAsia="Courier New" w:hAnsi="Courier New"/>
          <w:color w:val="2B2B2B"/>
          <w:sz w:val="18"/>
          <w:szCs w:val="18"/>
        </w:rPr>
        <w:t xml:space="preserve">    IF document type is not external-only:</w:t>
      </w:r>
    </w:p>
    <w:p>
      <w:pPr>
        <w:spacing w:after="0" w:before="0"/>
      </w:pPr>
      <w:r>
        <w:rPr>
          <w:rFonts w:ascii="Courier New" w:cs="Courier New" w:eastAsia="Courier New" w:hAnsi="Courier New"/>
          <w:color w:val="2B2B2B"/>
          <w:sz w:val="18"/>
          <w:szCs w:val="18"/>
        </w:rPr>
        <w:t xml:space="preserve">        CALL Box API: Move file to internal permanent folder</w:t>
      </w:r>
    </w:p>
    <w:p>
      <w:pPr>
        <w:spacing w:after="0" w:before="0"/>
      </w:pPr>
      <w:r>
        <w:rPr>
          <w:rFonts w:ascii="Courier New" w:cs="Courier New" w:eastAsia="Courier New" w:hAnsi="Courier New"/>
          <w:color w:val="2B2B2B"/>
          <w:sz w:val="18"/>
          <w:szCs w:val="18"/>
        </w:rPr>
        <w:t xml:space="preserve">    SET IsFileMoved = true</w:t>
      </w:r>
    </w:p>
    <w:p>
      <w:pPr>
        <w:spacing w:after="0" w:before="0"/>
      </w:pPr>
      <w:r>
        <w:rPr>
          <w:rFonts w:ascii="Courier New" w:cs="Courier New" w:eastAsia="Courier New" w:hAnsi="Courier New"/>
          <w:color w:val="2B2B2B"/>
          <w:sz w:val="18"/>
          <w:szCs w:val="18"/>
        </w:rPr>
        <w:t xml:space="preserve">    STORE BoxFileURL on document</w:t>
      </w:r>
    </w:p>
    <w:p>
      <w:pPr>
        <w:spacing w:after="0" w:before="0"/>
      </w:pPr>
      <w:r>
        <w:rPr>
          <w:rFonts w:ascii="Courier New" w:cs="Courier New" w:eastAsia="Courier New" w:hAnsi="Courier New"/>
          <w:color w:val="2B2B2B"/>
          <w:sz w:val="18"/>
          <w:szCs w:val="18"/>
        </w:rPr>
        <w:t xml:space="preserve">    ON failure:</w:t>
      </w:r>
    </w:p>
    <w:p>
      <w:pPr>
        <w:spacing w:after="0" w:before="0"/>
      </w:pPr>
      <w:r>
        <w:rPr>
          <w:rFonts w:ascii="Courier New" w:cs="Courier New" w:eastAsia="Courier New" w:hAnsi="Courier New"/>
          <w:color w:val="2B2B2B"/>
          <w:sz w:val="18"/>
          <w:szCs w:val="18"/>
        </w:rPr>
        <w:t xml:space="preserve">        SET IsFileNotTransferred = true</w:t>
      </w:r>
    </w:p>
    <w:p>
      <w:pPr>
        <w:spacing w:after="0" w:before="0"/>
      </w:pPr>
      <w:r>
        <w:rPr>
          <w:rFonts w:ascii="Courier New" w:cs="Courier New" w:eastAsia="Courier New" w:hAnsi="Courier New"/>
          <w:color w:val="2B2B2B"/>
          <w:sz w:val="18"/>
          <w:szCs w:val="18"/>
        </w:rPr>
        <w:t xml:space="preserve">        SEND exception notification email</w:t>
      </w:r>
    </w:p>
    <w:p>
      <w:pPr>
        <w:spacing w:after="0" w:before="0"/>
      </w:pPr>
      <w:r>
        <w:rPr>
          <w:rFonts w:ascii="Courier New" w:cs="Courier New" w:eastAsia="Courier New" w:hAnsi="Courier New"/>
          <w:color w:val="2B2B2B"/>
          <w:sz w:val="18"/>
          <w:szCs w:val="18"/>
        </w:rPr>
        <w:t xml:space="preserve">        Add to exception queue</w:t>
      </w:r>
    </w:p>
    <w:p>
      <w:pPr>
        <w:spacing w:after="120"/>
      </w:pPr>
    </w:p>
    <w:p>
      <w:pPr>
        <w:pStyle w:val="Heading2"/>
        <w:spacing w:after="120" w:before="240"/>
      </w:pPr>
      <w:r>
        <w:rPr>
          <w:rFonts w:ascii="Arial" w:cs="Arial" w:eastAsia="Arial" w:hAnsi="Arial"/>
          <w:b/>
          <w:bCs/>
          <w:color w:val="1F4E79"/>
          <w:sz w:val="26"/>
          <w:szCs w:val="26"/>
        </w:rPr>
        <w:t xml:space="preserve">On Stage 3 — Clean Temp Folder</w:t>
      </w:r>
    </w:p>
    <w:p>
      <w:pPr>
        <w:spacing w:after="0" w:before="0"/>
      </w:pPr>
      <w:r>
        <w:rPr>
          <w:rFonts w:ascii="Courier New" w:cs="Courier New" w:eastAsia="Courier New" w:hAnsi="Courier New"/>
          <w:color w:val="2B2B2B"/>
          <w:sz w:val="18"/>
          <w:szCs w:val="18"/>
        </w:rPr>
        <w:t xml:space="preserve">CALL Box API: Delete temporary staging folder</w:t>
      </w:r>
    </w:p>
    <w:p>
      <w:pPr>
        <w:spacing w:after="0" w:before="0"/>
      </w:pPr>
      <w:r>
        <w:rPr>
          <w:rFonts w:ascii="Courier New" w:cs="Courier New" w:eastAsia="Courier New" w:hAnsi="Courier New"/>
          <w:color w:val="2B2B2B"/>
          <w:sz w:val="18"/>
          <w:szCs w:val="18"/>
        </w:rPr>
        <w:t xml:space="preserve">SET IsTempFolderEmpty = true</w:t>
      </w:r>
    </w:p>
    <w:p>
      <w:pPr>
        <w:spacing w:after="0" w:before="0"/>
      </w:pPr>
      <w:r>
        <w:rPr>
          <w:rFonts w:ascii="Courier New" w:cs="Courier New" w:eastAsia="Courier New" w:hAnsi="Courier New"/>
          <w:color w:val="2B2B2B"/>
          <w:sz w:val="18"/>
          <w:szCs w:val="18"/>
        </w:rPr>
        <w:t xml:space="preserve">IF NotificationFlag = Yes:</w:t>
      </w:r>
    </w:p>
    <w:p>
      <w:pPr>
        <w:spacing w:after="0" w:before="0"/>
      </w:pPr>
      <w:r>
        <w:rPr>
          <w:rFonts w:ascii="Courier New" w:cs="Courier New" w:eastAsia="Courier New" w:hAnsi="Courier New"/>
          <w:color w:val="2B2B2B"/>
          <w:sz w:val="18"/>
          <w:szCs w:val="18"/>
        </w:rPr>
        <w:t xml:space="preserve">    SEND final confirmation email to client</w:t>
      </w:r>
    </w:p>
    <w:p>
      <w:pPr>
        <w:spacing w:after="0" w:before="0"/>
      </w:pPr>
      <w:r>
        <w:rPr>
          <w:rFonts w:ascii="Courier New" w:cs="Courier New" w:eastAsia="Courier New" w:hAnsi="Courier New"/>
          <w:color w:val="2B2B2B"/>
          <w:sz w:val="18"/>
          <w:szCs w:val="18"/>
        </w:rPr>
        <w:t xml:space="preserve">Advance record to Stage 4 (Resolution)</w:t>
      </w:r>
    </w:p>
    <w:p>
      <w:r>
        <w:br w:type="page"/>
      </w:r>
    </w:p>
    <w:p>
      <w:pPr>
        <w:pStyle w:val="Heading1"/>
        <w:spacing w:after="160" w:before="360"/>
      </w:pPr>
      <w:r>
        <w:rPr>
          <w:rFonts w:ascii="Arial" w:cs="Arial" w:eastAsia="Arial" w:hAnsi="Arial"/>
          <w:b/>
          <w:bCs/>
          <w:color w:val="1F4E79"/>
          <w:sz w:val="32"/>
          <w:szCs w:val="32"/>
        </w:rPr>
        <w:t xml:space="preserve">12. Portal and Dashboard Specification</w:t>
      </w:r>
    </w:p>
    <w:p>
      <w:pPr>
        <w:pStyle w:val="Heading2"/>
        <w:spacing w:after="120" w:before="240"/>
      </w:pPr>
      <w:r>
        <w:rPr>
          <w:rFonts w:ascii="Arial" w:cs="Arial" w:eastAsia="Arial" w:hAnsi="Arial"/>
          <w:b/>
          <w:bCs/>
          <w:color w:val="1F4E79"/>
          <w:sz w:val="26"/>
          <w:szCs w:val="26"/>
        </w:rPr>
        <w:t xml:space="preserve">12.1 Portal Structure</w:t>
      </w:r>
    </w:p>
    <w:p>
      <w:pPr>
        <w:spacing w:after="120" w:before="0"/>
      </w:pPr>
      <w:r>
        <w:rPr>
          <w:rFonts w:ascii="Arial" w:cs="Arial" w:eastAsia="Arial" w:hAnsi="Arial"/>
          <w:b w:val="false"/>
          <w:bCs w:val="false"/>
          <w:color w:val="000000"/>
          <w:sz w:val="22"/>
          <w:szCs w:val="22"/>
        </w:rPr>
        <w:t xml:space="preserve">There is a single web portal used by both Standard Users and Administrators. Role-based differences are handled within the portal — there are not separate portals per role.</w:t>
      </w:r>
    </w:p>
    <w:p>
      <w:pPr>
        <w:spacing w:after="120" w:before="0"/>
      </w:pPr>
      <w:r>
        <w:rPr>
          <w:rFonts w:ascii="Arial" w:cs="Arial" w:eastAsia="Arial" w:hAnsi="Arial"/>
          <w:b w:val="false"/>
          <w:bCs w:val="false"/>
          <w:color w:val="000000"/>
          <w:sz w:val="22"/>
          <w:szCs w:val="22"/>
        </w:rPr>
        <w:t xml:space="preserve">Portal layout: Header (application name, user info, navigation) → Dashboard (Work I Need To Do queue + Recent Cases section) → Work area (case form, confirmation screens, exception queue).</w:t>
      </w:r>
    </w:p>
    <w:p>
      <w:pPr>
        <w:pStyle w:val="Heading2"/>
        <w:spacing w:after="120" w:before="240"/>
      </w:pPr>
      <w:r>
        <w:rPr>
          <w:rFonts w:ascii="Arial" w:cs="Arial" w:eastAsia="Arial" w:hAnsi="Arial"/>
          <w:b/>
          <w:bCs/>
          <w:color w:val="1F4E79"/>
          <w:sz w:val="26"/>
          <w:szCs w:val="26"/>
        </w:rPr>
        <w:t xml:space="preserve">12.2 Standard User Dashboard — Work I Need To Do Grid</w:t>
      </w:r>
    </w:p>
    <w:p>
      <w:pPr>
        <w:spacing w:after="120" w:before="0"/>
      </w:pPr>
      <w:r>
        <w:rPr>
          <w:rFonts w:ascii="Arial" w:cs="Arial" w:eastAsia="Arial" w:hAnsi="Arial"/>
          <w:b w:val="false"/>
          <w:bCs w:val="false"/>
          <w:color w:val="000000"/>
          <w:sz w:val="22"/>
          <w:szCs w:val="22"/>
        </w:rPr>
        <w:t xml:space="preserve">Shows only records assigned to the currently logged-in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Column</w:t>
            </w:r>
          </w:p>
        </w:tc>
        <w:tc>
          <w:tcPr>
            <w:tcW w:type="dxa" w:w="65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Record ID</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Unique identifier, clickable link to open the record</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Task</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Current step/task label</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Current work status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Name</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Full name of the owner-doctor client</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PDS Email</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Client's work email</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Personal Email</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Client's personal email</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Created Date</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Date/time the record was created</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Date/time of the most recent change</w:t>
            </w:r>
          </w:p>
        </w:tc>
      </w:tr>
    </w:tbl>
    <w:p>
      <w:pPr>
        <w:spacing w:after="120"/>
      </w:pPr>
    </w:p>
    <w:p>
      <w:pPr>
        <w:spacing w:after="120" w:before="0"/>
      </w:pPr>
      <w:r>
        <w:rPr>
          <w:rFonts w:ascii="Arial" w:cs="Arial" w:eastAsia="Arial" w:hAnsi="Arial"/>
          <w:b w:val="false"/>
          <w:bCs w:val="false"/>
          <w:color w:val="000000"/>
          <w:sz w:val="22"/>
          <w:szCs w:val="22"/>
        </w:rPr>
        <w:t xml:space="preserve">User-specific features: Checkbox column for multi-select. Resolve Selected Cases bulk action button. Exception queue section.</w:t>
      </w:r>
    </w:p>
    <w:p>
      <w:pPr>
        <w:pStyle w:val="Heading2"/>
        <w:spacing w:after="120" w:before="240"/>
      </w:pPr>
      <w:r>
        <w:rPr>
          <w:rFonts w:ascii="Arial" w:cs="Arial" w:eastAsia="Arial" w:hAnsi="Arial"/>
          <w:b/>
          <w:bCs/>
          <w:color w:val="1F4E79"/>
          <w:sz w:val="26"/>
          <w:szCs w:val="26"/>
        </w:rPr>
        <w:t xml:space="preserve">12.3 Administrator Dashboard — Work I Need To Do Grid</w:t>
      </w:r>
    </w:p>
    <w:p>
      <w:pPr>
        <w:spacing w:after="120" w:before="0"/>
      </w:pPr>
      <w:r>
        <w:rPr>
          <w:rFonts w:ascii="Arial" w:cs="Arial" w:eastAsia="Arial" w:hAnsi="Arial"/>
          <w:b w:val="false"/>
          <w:bCs w:val="false"/>
          <w:color w:val="000000"/>
          <w:sz w:val="22"/>
          <w:szCs w:val="22"/>
        </w:rPr>
        <w:t xml:space="preserve">Shows all records across all staff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Column</w:t>
            </w:r>
          </w:p>
        </w:tc>
        <w:tc>
          <w:tcPr>
            <w:tcW w:type="dxa" w:w="48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Description</w:t>
            </w:r>
          </w:p>
        </w:tc>
        <w:tc>
          <w:tcPr>
            <w:tcW w:type="dxa" w:w="21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Admin Only?</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Record ID</w:t>
            </w:r>
          </w:p>
        </w:tc>
        <w:tc>
          <w:tcPr>
            <w:tcW w:type="dxa" w:w="4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Unique identifier, clickable link to open the record</w:t>
            </w:r>
          </w:p>
        </w:tc>
        <w:tc>
          <w:tcPr>
            <w:tcW w:type="dxa" w:w="2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Task</w:t>
            </w:r>
          </w:p>
        </w:tc>
        <w:tc>
          <w:tcPr>
            <w:tcW w:type="dxa" w:w="4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Current step/task label</w:t>
            </w:r>
          </w:p>
        </w:tc>
        <w:tc>
          <w:tcPr>
            <w:tcW w:type="dxa" w:w="2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Status</w:t>
            </w:r>
          </w:p>
        </w:tc>
        <w:tc>
          <w:tcPr>
            <w:tcW w:type="dxa" w:w="4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Current work status</w:t>
            </w:r>
          </w:p>
        </w:tc>
        <w:tc>
          <w:tcPr>
            <w:tcW w:type="dxa" w:w="2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Name</w:t>
            </w:r>
          </w:p>
        </w:tc>
        <w:tc>
          <w:tcPr>
            <w:tcW w:type="dxa" w:w="4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Full name of the owner-doctor client</w:t>
            </w:r>
          </w:p>
        </w:tc>
        <w:tc>
          <w:tcPr>
            <w:tcW w:type="dxa" w:w="2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PDS Email</w:t>
            </w:r>
          </w:p>
        </w:tc>
        <w:tc>
          <w:tcPr>
            <w:tcW w:type="dxa" w:w="4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Client's work email</w:t>
            </w:r>
          </w:p>
        </w:tc>
        <w:tc>
          <w:tcPr>
            <w:tcW w:type="dxa" w:w="2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Personal Email</w:t>
            </w:r>
          </w:p>
        </w:tc>
        <w:tc>
          <w:tcPr>
            <w:tcW w:type="dxa" w:w="4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Client's personal email</w:t>
            </w:r>
          </w:p>
        </w:tc>
        <w:tc>
          <w:tcPr>
            <w:tcW w:type="dxa" w:w="2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Assigned To</w:t>
            </w:r>
          </w:p>
        </w:tc>
        <w:tc>
          <w:tcPr>
            <w:tcW w:type="dxa" w:w="4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Which staff member owns this record</w:t>
            </w:r>
          </w:p>
        </w:tc>
        <w:tc>
          <w:tcPr>
            <w:tcW w:type="dxa" w:w="2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Created Date</w:t>
            </w:r>
          </w:p>
        </w:tc>
        <w:tc>
          <w:tcPr>
            <w:tcW w:type="dxa" w:w="4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Date/time the record was created</w:t>
            </w:r>
          </w:p>
        </w:tc>
        <w:tc>
          <w:tcPr>
            <w:tcW w:type="dxa" w:w="2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Last Updated</w:t>
            </w:r>
          </w:p>
        </w:tc>
        <w:tc>
          <w:tcPr>
            <w:tcW w:type="dxa" w:w="4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Date/time of the most recent change</w:t>
            </w:r>
          </w:p>
        </w:tc>
        <w:tc>
          <w:tcPr>
            <w:tcW w:type="dxa" w:w="2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w:t>
            </w:r>
          </w:p>
        </w:tc>
      </w:tr>
    </w:tbl>
    <w:p>
      <w:pPr>
        <w:spacing w:after="120"/>
      </w:pPr>
    </w:p>
    <w:p>
      <w:pPr>
        <w:pStyle w:val="Heading2"/>
        <w:spacing w:after="120" w:before="240"/>
      </w:pPr>
      <w:r>
        <w:rPr>
          <w:rFonts w:ascii="Arial" w:cs="Arial" w:eastAsia="Arial" w:hAnsi="Arial"/>
          <w:b/>
          <w:bCs/>
          <w:color w:val="1F4E79"/>
          <w:sz w:val="26"/>
          <w:szCs w:val="26"/>
        </w:rPr>
        <w:t xml:space="preserve">12.4 Case Action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Action</w:t>
            </w:r>
          </w:p>
        </w:tc>
        <w:tc>
          <w:tcPr>
            <w:tcW w:type="dxa" w:w="22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Available To</w:t>
            </w:r>
          </w:p>
        </w:tc>
        <w:tc>
          <w:tcPr>
            <w:tcW w:type="dxa" w:w="4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Edit Details</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All users</w:t>
            </w:r>
          </w:p>
        </w:tc>
        <w:tc>
          <w:tcPr>
            <w:tcW w:type="dxa" w:w="4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Edit the case details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Change Stage</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All users</w:t>
            </w:r>
          </w:p>
        </w:tc>
        <w:tc>
          <w:tcPr>
            <w:tcW w:type="dxa" w:w="4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Manually change the current stage</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Cancel/Withdrawal Case</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Administrator only</w:t>
            </w:r>
          </w:p>
        </w:tc>
        <w:tc>
          <w:tcPr>
            <w:tcW w:type="dxa" w:w="4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Permanently close the record with a reason</w:t>
            </w:r>
          </w:p>
        </w:tc>
      </w:tr>
    </w:tbl>
    <w:p>
      <w:r>
        <w:br w:type="page"/>
      </w:r>
    </w:p>
    <w:p>
      <w:pPr>
        <w:pStyle w:val="Heading1"/>
        <w:spacing w:after="160" w:before="360"/>
      </w:pPr>
      <w:r>
        <w:rPr>
          <w:rFonts w:ascii="Arial" w:cs="Arial" w:eastAsia="Arial" w:hAnsi="Arial"/>
          <w:b/>
          <w:bCs/>
          <w:color w:val="1F4E79"/>
          <w:sz w:val="32"/>
          <w:szCs w:val="32"/>
        </w:rPr>
        <w:t xml:space="preserve">13. Notification and Email Specification</w:t>
      </w:r>
    </w:p>
    <w:p>
      <w:pPr>
        <w:pStyle w:val="Heading2"/>
        <w:spacing w:after="120" w:before="240"/>
      </w:pPr>
      <w:r>
        <w:rPr>
          <w:rFonts w:ascii="Arial" w:cs="Arial" w:eastAsia="Arial" w:hAnsi="Arial"/>
          <w:b/>
          <w:bCs/>
          <w:color w:val="1F4E79"/>
          <w:sz w:val="26"/>
          <w:szCs w:val="26"/>
        </w:rPr>
        <w:t xml:space="preserve">13.1 Email 1 — Exception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65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Exception Mail (NotifyExceptionMail)</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Automatic — fires when a file transfer or PDF processing step fails in Stage 2</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Recipient</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Tax department staff team (internal notification)</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When sent</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Immediately on detection of a processing failure</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Notification of error, link to affected case, document failure details, retry instructions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Format</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HTML email with branded header and footer, exception folder link included</w:t>
            </w:r>
          </w:p>
        </w:tc>
      </w:tr>
    </w:tbl>
    <w:p>
      <w:pPr>
        <w:spacing w:after="120"/>
      </w:pPr>
    </w:p>
    <w:p>
      <w:pPr>
        <w:pStyle w:val="Heading2"/>
        <w:spacing w:after="120" w:before="240"/>
      </w:pPr>
      <w:r>
        <w:rPr>
          <w:rFonts w:ascii="Arial" w:cs="Arial" w:eastAsia="Arial" w:hAnsi="Arial"/>
          <w:b/>
          <w:bCs/>
          <w:color w:val="1F4E79"/>
          <w:sz w:val="26"/>
          <w:szCs w:val="26"/>
        </w:rPr>
        <w:t xml:space="preserve">13.2 Email 2 — Final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65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Final Confirmation (NotifyFinalConfirmation)</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Automatic — fires at end of Stage 3 after temp folder is successfully deleted</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Recipient</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The owner-doctor client (PDS Email and/or Personal Email)</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When sent</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Once per routing record, on successful completion only</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Condition</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Notification Flag on the record must be set to Yes; if No, email is suppressed</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Content</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Confirmation that documents have been received and filed, Box folder link, support contact info</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HTML email with branded header, Box folder link section, support info section, standard footer</w:t>
            </w:r>
          </w:p>
        </w:tc>
      </w:tr>
    </w:tbl>
    <w:p>
      <w:pPr>
        <w:spacing w:after="120"/>
      </w:pPr>
    </w:p>
    <w:p>
      <w:pPr>
        <w:spacing w:after="120" w:before="0"/>
      </w:pPr>
      <w:r>
        <w:rPr>
          <w:rFonts w:ascii="Arial" w:cs="Arial" w:eastAsia="Arial" w:hAnsi="Arial"/>
          <w:b w:val="false"/>
          <w:bCs w:val="false"/>
          <w:color w:val="000000"/>
          <w:sz w:val="22"/>
          <w:szCs w:val="22"/>
        </w:rPr>
        <w:t xml:space="preserve">There are no other automated notifications in the system — no scheduled/batch emails, no reminder emails, and no SLA breach emails.</w:t>
      </w:r>
    </w:p>
    <w:p>
      <w:r>
        <w:br w:type="page"/>
      </w:r>
    </w:p>
    <w:p>
      <w:pPr>
        <w:pStyle w:val="Heading1"/>
        <w:spacing w:after="160" w:before="360"/>
      </w:pPr>
      <w:r>
        <w:rPr>
          <w:rFonts w:ascii="Arial" w:cs="Arial" w:eastAsia="Arial" w:hAnsi="Arial"/>
          <w:b/>
          <w:bCs/>
          <w:color w:val="1F4E79"/>
          <w:sz w:val="32"/>
          <w:szCs w:val="32"/>
        </w:rPr>
        <w:t xml:space="preserve">14. Integration Contracts (Box API)</w:t>
      </w:r>
    </w:p>
    <w:p>
      <w:pPr>
        <w:spacing w:after="120" w:before="0"/>
      </w:pPr>
      <w:r>
        <w:rPr>
          <w:rFonts w:ascii="Arial" w:cs="Arial" w:eastAsia="Arial" w:hAnsi="Arial"/>
          <w:b w:val="false"/>
          <w:bCs w:val="false"/>
          <w:color w:val="000000"/>
          <w:sz w:val="22"/>
          <w:szCs w:val="22"/>
        </w:rPr>
        <w:t xml:space="preserve">The application integrates exclusively with Box (cloud file storage) for all document storage and folder management. All calls use OAuth token authentication. There are no other external system integrations.</w:t>
      </w:r>
    </w:p>
    <w:p>
      <w:pPr>
        <w:spacing w:after="120"/>
      </w:pPr>
    </w:p>
    <w:p>
      <w:pPr>
        <w:pStyle w:val="Heading3"/>
        <w:spacing w:after="100" w:before="180"/>
      </w:pPr>
      <w:r>
        <w:rPr>
          <w:rFonts w:ascii="Arial" w:cs="Arial" w:eastAsia="Arial" w:hAnsi="Arial"/>
          <w:b/>
          <w:bCs/>
          <w:color w:val="2E75B6"/>
          <w:sz w:val="24"/>
          <w:szCs w:val="24"/>
        </w:rPr>
        <w:t xml:space="preserve">Box folder architecture</w:t>
      </w:r>
    </w:p>
    <w:p>
      <w:pPr>
        <w:spacing w:after="120" w:before="0"/>
      </w:pPr>
      <w:r>
        <w:rPr>
          <w:rFonts w:ascii="Arial" w:cs="Arial" w:eastAsia="Arial" w:hAnsi="Arial"/>
          <w:color w:val="000000"/>
          <w:sz w:val="22"/>
          <w:szCs w:val="22"/>
        </w:rPr>
        <w:t xml:space="preserve">The system uses four distinct Box folder types per routing record:</w:t>
      </w:r>
    </w:p>
    <w:p>
      <w:pPr>
        <w:spacing w:after="120"/>
      </w:pP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800"/>
        <w:gridCol w:w="4160"/>
      </w:tblGrid>
      <w:tr>
        <w:tc>
          <w:tcPr>
            <w:tcW w:type="dxa" w:w="2400"/>
            <w:shd w:fill="D6E4F0" w:val="clear"/>
            <w:tcMar>
              <w:top w:type="dxa" w:w="80"/>
              <w:start w:type="dxa" w:w="120"/>
              <w:bottom w:type="dxa" w:w="80"/>
              <w:end w:type="dxa" w:w="120"/>
            </w:tcMar>
          </w:tcPr>
          <w:p>
            <w:r>
              <w:rPr>
                <w:rFonts w:ascii="Arial" w:hAnsi="Arial"/>
                <w:b/>
                <w:bCs/>
                <w:sz w:val="22"/>
              </w:rPr>
              <w:t xml:space="preserve">Folder Type</w:t>
            </w:r>
          </w:p>
        </w:tc>
        <w:tc>
          <w:tcPr>
            <w:tcW w:type="dxa" w:w="2800"/>
            <w:shd w:fill="D6E4F0" w:val="clear"/>
            <w:tcMar>
              <w:top w:type="dxa" w:w="80"/>
              <w:start w:type="dxa" w:w="120"/>
              <w:bottom w:type="dxa" w:w="80"/>
              <w:end w:type="dxa" w:w="120"/>
            </w:tcMar>
          </w:tcPr>
          <w:p>
            <w:r>
              <w:rPr>
                <w:rFonts w:ascii="Arial" w:hAnsi="Arial"/>
                <w:b/>
                <w:bCs/>
                <w:sz w:val="22"/>
              </w:rPr>
              <w:t xml:space="preserve">Property / Reference</w:t>
            </w:r>
          </w:p>
        </w:tc>
        <w:tc>
          <w:tcPr>
            <w:tcW w:type="dxa" w:w="4160"/>
            <w:shd w:fill="D6E4F0" w:val="clear"/>
            <w:tcMar>
              <w:top w:type="dxa" w:w="80"/>
              <w:start w:type="dxa" w:w="120"/>
              <w:bottom w:type="dxa" w:w="80"/>
              <w:end w:type="dxa" w:w="120"/>
            </w:tcMar>
          </w:tcPr>
          <w:p>
            <w:r>
              <w:rPr>
                <w:rFonts w:ascii="Arial" w:hAnsi="Arial"/>
                <w:b/>
                <w:bCs/>
                <w:sz w:val="22"/>
              </w:rPr>
              <w:t xml:space="preserve">Scope and Purpose</w:t>
            </w:r>
          </w:p>
        </w:tc>
      </w:tr>
      <w:tr>
        <w:tc>
          <w:tcPr>
            <w:tcW w:type="dxa" w:w="2400"/>
            <w:shd w:fill="FFFFFF" w:val="clear"/>
            <w:tcMar>
              <w:top w:type="dxa" w:w="80"/>
              <w:start w:type="dxa" w:w="120"/>
              <w:bottom w:type="dxa" w:w="80"/>
              <w:end w:type="dxa" w:w="120"/>
            </w:tcMar>
          </w:tcPr>
          <w:p>
            <w:r>
              <w:rPr>
                <w:rFonts w:ascii="Arial" w:hAnsi="Arial"/>
                <w:sz w:val="20"/>
              </w:rPr>
              <w:t xml:space="preserve">Temp (Staging) Folder</w:t>
            </w:r>
          </w:p>
        </w:tc>
        <w:tc>
          <w:tcPr>
            <w:tcW w:type="dxa" w:w="2800"/>
            <w:shd w:fill="FFFFFF" w:val="clear"/>
            <w:tcMar>
              <w:top w:type="dxa" w:w="80"/>
              <w:start w:type="dxa" w:w="120"/>
              <w:bottom w:type="dxa" w:w="80"/>
              <w:end w:type="dxa" w:w="120"/>
            </w:tcMar>
          </w:tcPr>
          <w:p>
            <w:r>
              <w:rPr>
                <w:rFonts w:ascii="Arial" w:hAnsi="Arial"/>
                <w:sz w:val="20"/>
              </w:rPr>
              <w:t xml:space="preserve">BoxFolderLocations(TempFolder).ID</w:t>
            </w:r>
          </w:p>
        </w:tc>
        <w:tc>
          <w:tcPr>
            <w:tcW w:type="dxa" w:w="4160"/>
            <w:shd w:fill="FFFFFF" w:val="clear"/>
            <w:tcMar>
              <w:top w:type="dxa" w:w="80"/>
              <w:start w:type="dxa" w:w="120"/>
              <w:bottom w:type="dxa" w:w="80"/>
              <w:end w:type="dxa" w:w="120"/>
            </w:tcMar>
          </w:tcPr>
          <w:p>
            <w:r>
              <w:rPr>
                <w:rFonts w:ascii="Arial" w:hAnsi="Arial"/>
                <w:sz w:val="20"/>
              </w:rPr>
              <w:t xml:space="preserve">Case-scoped staging area. Created at case start, deleted in Stage 3.</w:t>
            </w:r>
          </w:p>
        </w:tc>
      </w:tr>
      <w:tr>
        <w:tc>
          <w:tcPr>
            <w:tcW w:type="dxa" w:w="2400"/>
            <w:shd w:fill="F2F2F2" w:val="clear"/>
            <w:tcMar>
              <w:top w:type="dxa" w:w="80"/>
              <w:start w:type="dxa" w:w="120"/>
              <w:bottom w:type="dxa" w:w="80"/>
              <w:end w:type="dxa" w:w="120"/>
            </w:tcMar>
          </w:tcPr>
          <w:p>
            <w:r>
              <w:rPr>
                <w:rFonts w:ascii="Arial" w:hAnsi="Arial"/>
                <w:sz w:val="20"/>
              </w:rPr>
              <w:t xml:space="preserve">Internal Quick View Folder</w:t>
            </w:r>
          </w:p>
        </w:tc>
        <w:tc>
          <w:tcPr>
            <w:tcW w:type="dxa" w:w="2800"/>
            <w:shd w:fill="F2F2F2" w:val="clear"/>
            <w:tcMar>
              <w:top w:type="dxa" w:w="80"/>
              <w:start w:type="dxa" w:w="120"/>
              <w:bottom w:type="dxa" w:w="80"/>
              <w:end w:type="dxa" w:w="120"/>
            </w:tcMar>
          </w:tcPr>
          <w:p>
            <w:r>
              <w:rPr>
                <w:rFonts w:ascii="Arial" w:hAnsi="Arial"/>
                <w:sz w:val="20"/>
              </w:rPr>
              <w:t xml:space="preserve">InternalSubFolderID2</w:t>
            </w:r>
          </w:p>
        </w:tc>
        <w:tc>
          <w:tcPr>
            <w:tcW w:type="dxa" w:w="4160"/>
            <w:shd w:fill="F2F2F2" w:val="clear"/>
            <w:tcMar>
              <w:top w:type="dxa" w:w="80"/>
              <w:start w:type="dxa" w:w="120"/>
              <w:bottom w:type="dxa" w:w="80"/>
              <w:end w:type="dxa" w:w="120"/>
            </w:tcMar>
          </w:tcPr>
          <w:p>
            <w:r>
              <w:rPr>
                <w:rFonts w:ascii="Arial" w:hAnsi="Arial"/>
                <w:sz w:val="20"/>
              </w:rPr>
              <w:t xml:space="preserve">Internal PDS only. Unencrypted copy for fast internal review. Never receives password-encrypted files.</w:t>
            </w:r>
          </w:p>
        </w:tc>
      </w:tr>
      <w:tr>
        <w:tc>
          <w:tcPr>
            <w:tcW w:type="dxa" w:w="2400"/>
            <w:shd w:fill="FFFFFF" w:val="clear"/>
            <w:tcMar>
              <w:top w:type="dxa" w:w="80"/>
              <w:start w:type="dxa" w:w="120"/>
              <w:bottom w:type="dxa" w:w="80"/>
              <w:end w:type="dxa" w:w="120"/>
            </w:tcMar>
          </w:tcPr>
          <w:p>
            <w:r>
              <w:rPr>
                <w:rFonts w:ascii="Arial" w:hAnsi="Arial"/>
                <w:sz w:val="20"/>
              </w:rPr>
              <w:t xml:space="preserve">External Client Copy Folder</w:t>
            </w:r>
          </w:p>
        </w:tc>
        <w:tc>
          <w:tcPr>
            <w:tcW w:type="dxa" w:w="2800"/>
            <w:shd w:fill="FFFFFF" w:val="clear"/>
            <w:tcMar>
              <w:top w:type="dxa" w:w="80"/>
              <w:start w:type="dxa" w:w="120"/>
              <w:bottom w:type="dxa" w:w="80"/>
              <w:end w:type="dxa" w:w="120"/>
            </w:tcMar>
          </w:tcPr>
          <w:p>
            <w:r>
              <w:rPr>
                <w:rFonts w:ascii="Arial" w:hAnsi="Arial"/>
                <w:sz w:val="20"/>
              </w:rPr>
              <w:t xml:space="preserve">ExternalSubFolderID2</w:t>
            </w:r>
          </w:p>
        </w:tc>
        <w:tc>
          <w:tcPr>
            <w:tcW w:type="dxa" w:w="4160"/>
            <w:shd w:fill="FFFFFF" w:val="clear"/>
            <w:tcMar>
              <w:top w:type="dxa" w:w="80"/>
              <w:start w:type="dxa" w:w="120"/>
              <w:bottom w:type="dxa" w:w="80"/>
              <w:end w:type="dxa" w:w="120"/>
            </w:tcMar>
          </w:tcPr>
          <w:p>
            <w:r>
              <w:rPr>
                <w:rFonts w:ascii="Arial" w:hAnsi="Arial"/>
                <w:sz w:val="20"/>
              </w:rPr>
              <w:t xml:space="preserve">Client-facing. Shared with taxpayer via collaborator access (previewer role). Encrypted when IsPasswordProtect = true.</w:t>
            </w:r>
          </w:p>
        </w:tc>
      </w:tr>
      <w:tr>
        <w:tc>
          <w:tcPr>
            <w:tcW w:type="dxa" w:w="2400"/>
            <w:shd w:fill="F2F2F2" w:val="clear"/>
            <w:tcMar>
              <w:top w:type="dxa" w:w="80"/>
              <w:start w:type="dxa" w:w="120"/>
              <w:bottom w:type="dxa" w:w="80"/>
              <w:end w:type="dxa" w:w="120"/>
            </w:tcMar>
          </w:tcPr>
          <w:p>
            <w:r>
              <w:rPr>
                <w:rFonts w:ascii="Arial" w:hAnsi="Arial"/>
                <w:sz w:val="20"/>
              </w:rPr>
              <w:t xml:space="preserve">Internal Client Copy Folder</w:t>
            </w:r>
          </w:p>
        </w:tc>
        <w:tc>
          <w:tcPr>
            <w:tcW w:type="dxa" w:w="2800"/>
            <w:shd w:fill="F2F2F2" w:val="clear"/>
            <w:tcMar>
              <w:top w:type="dxa" w:w="80"/>
              <w:start w:type="dxa" w:w="120"/>
              <w:bottom w:type="dxa" w:w="80"/>
              <w:end w:type="dxa" w:w="120"/>
            </w:tcMar>
          </w:tcPr>
          <w:p>
            <w:r>
              <w:rPr>
                <w:rFonts w:ascii="Arial" w:hAnsi="Arial"/>
                <w:sz w:val="20"/>
              </w:rPr>
              <w:t xml:space="preserve">InternalSubFolderID3</w:t>
            </w:r>
          </w:p>
        </w:tc>
        <w:tc>
          <w:tcPr>
            <w:tcW w:type="dxa" w:w="4160"/>
            <w:shd w:fill="F2F2F2" w:val="clear"/>
            <w:tcMar>
              <w:top w:type="dxa" w:w="80"/>
              <w:start w:type="dxa" w:w="120"/>
              <w:bottom w:type="dxa" w:w="80"/>
              <w:end w:type="dxa" w:w="120"/>
            </w:tcMar>
          </w:tcPr>
          <w:p>
            <w:r>
              <w:rPr>
                <w:rFonts w:ascii="Arial" w:hAnsi="Arial"/>
                <w:sz w:val="20"/>
              </w:rPr>
              <w:t xml:space="preserve">Internal PDS archive. Not shared externally. Encrypted when IsPasswordProtect = true.</w:t>
            </w:r>
          </w:p>
        </w:tc>
      </w:tr>
    </w:tbl>
    <w:p>
      <w:pPr>
        <w:pStyle w:val="Heading3"/>
        <w:spacing w:after="100" w:before="180"/>
      </w:pPr>
      <w:r>
        <w:rPr>
          <w:rFonts w:ascii="Arial" w:cs="Arial" w:eastAsia="Arial" w:hAnsi="Arial"/>
          <w:b/>
          <w:bCs/>
          <w:color w:val="2E75B6"/>
          <w:sz w:val="24"/>
          <w:szCs w:val="24"/>
        </w:rPr>
        <w:t xml:space="preserve">14.1 — Authentication (Box_Token)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Obtain OAuth access token</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Before any Box operation</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POST</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Token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Access token for all subsequent calls</w:t>
            </w:r>
          </w:p>
        </w:tc>
      </w:tr>
    </w:tbl>
    <w:p>
      <w:pPr>
        <w:spacing w:after="120"/>
      </w:pPr>
    </w:p>
    <w:p>
      <w:pPr>
        <w:pStyle w:val="Heading3"/>
        <w:spacing w:after="100" w:before="180"/>
      </w:pPr>
      <w:r>
        <w:rPr>
          <w:rFonts w:ascii="Arial" w:cs="Arial" w:eastAsia="Arial" w:hAnsi="Arial"/>
          <w:b/>
          <w:bCs/>
          <w:color w:val="2E75B6"/>
          <w:sz w:val="24"/>
          <w:szCs w:val="24"/>
        </w:rPr>
        <w:t xml:space="preserve">14.2 — Create Temporary Folder (PDSBoxFolder)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Create a staging folder to hold documents during processing</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On new record creation</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POST</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Folders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Temp folder ID stored; on failure record routes to exception queue</w:t>
            </w:r>
          </w:p>
        </w:tc>
      </w:tr>
    </w:tbl>
    <w:p>
      <w:pPr>
        <w:spacing w:after="120"/>
      </w:pPr>
    </w:p>
    <w:p>
      <w:pPr>
        <w:pStyle w:val="Heading3"/>
        <w:spacing w:after="100" w:before="180"/>
      </w:pPr>
      <w:r>
        <w:rPr>
          <w:rFonts w:ascii="Arial" w:cs="Arial" w:eastAsia="Arial" w:hAnsi="Arial"/>
          <w:b/>
          <w:bCs/>
          <w:color w:val="2E75B6"/>
          <w:sz w:val="24"/>
          <w:szCs w:val="24"/>
        </w:rPr>
        <w:t xml:space="preserve">14.3 — Check Folder Exists (BoxFolder_IDExists)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Verify a Box folder ID is valid and accessible</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During client folder check in Stage 1</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GET</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Folders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Returns boolean; if false, staff prompted to re-enter URL</w:t>
            </w:r>
          </w:p>
        </w:tc>
      </w:tr>
    </w:tbl>
    <w:p>
      <w:pPr>
        <w:spacing w:after="120"/>
      </w:pPr>
    </w:p>
    <w:p>
      <w:pPr>
        <w:pStyle w:val="Heading3"/>
        <w:spacing w:after="100" w:before="180"/>
      </w:pPr>
      <w:r>
        <w:rPr>
          <w:rFonts w:ascii="Arial" w:cs="Arial" w:eastAsia="Arial" w:hAnsi="Arial"/>
          <w:b/>
          <w:bCs/>
          <w:color w:val="2E75B6"/>
          <w:sz w:val="24"/>
          <w:szCs w:val="24"/>
        </w:rPr>
        <w:t xml:space="preserve">14.4 — Get Folder Info (GetBoxFolderInfo)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Retrieve folder metadata and URL from a Box folder ID</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During client folder verification in Stage 1</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GET</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Folders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Returns folder URL; stored as ClientFolderExist flag</w:t>
            </w:r>
          </w:p>
        </w:tc>
      </w:tr>
    </w:tbl>
    <w:p>
      <w:pPr>
        <w:spacing w:after="120"/>
      </w:pPr>
    </w:p>
    <w:p>
      <w:pPr>
        <w:pStyle w:val="Heading3"/>
        <w:spacing w:after="100" w:before="180"/>
      </w:pPr>
      <w:r>
        <w:rPr>
          <w:rFonts w:ascii="Arial" w:cs="Arial" w:eastAsia="Arial" w:hAnsi="Arial"/>
          <w:b/>
          <w:bCs/>
          <w:color w:val="2E75B6"/>
          <w:sz w:val="24"/>
          <w:szCs w:val="24"/>
        </w:rPr>
        <w:t xml:space="preserve">14.5 — Upload File (PDSBoxCreateFile)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Upload a PDF file to a Box folder</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When staff attaches a document in Stage 1</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POST (multipart)</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Files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Returns Box file ID and URL stored on document record</w:t>
            </w:r>
          </w:p>
        </w:tc>
      </w:tr>
    </w:tbl>
    <w:p>
      <w:pPr>
        <w:spacing w:after="120"/>
      </w:pPr>
    </w:p>
    <w:p>
      <w:pPr>
        <w:pStyle w:val="Heading3"/>
        <w:spacing w:after="100" w:before="180"/>
      </w:pPr>
      <w:r>
        <w:rPr>
          <w:rFonts w:ascii="Arial" w:cs="Arial" w:eastAsia="Arial" w:hAnsi="Arial"/>
          <w:b/>
          <w:bCs/>
          <w:color w:val="2E75B6"/>
          <w:sz w:val="24"/>
          <w:szCs w:val="24"/>
        </w:rPr>
        <w:t xml:space="preserve">14.6 — Read File Content (PDSBoxFileContent)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Read a file already stored in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During PDF processing in Stage 2</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GET</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Files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File content used for password protection processing</w:t>
            </w:r>
          </w:p>
        </w:tc>
      </w:tr>
    </w:tbl>
    <w:p>
      <w:pPr>
        <w:spacing w:after="120"/>
      </w:pPr>
    </w:p>
    <w:p>
      <w:pPr>
        <w:pStyle w:val="Heading3"/>
        <w:spacing w:after="100" w:before="180"/>
      </w:pPr>
      <w:r>
        <w:rPr>
          <w:rFonts w:ascii="Arial" w:cs="Arial" w:eastAsia="Arial" w:hAnsi="Arial"/>
          <w:b/>
          <w:bCs/>
          <w:color w:val="2E75B6"/>
          <w:sz w:val="24"/>
          <w:szCs w:val="24"/>
        </w:rPr>
        <w:t xml:space="preserve">14.7 — Move File (PDSFileMove)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Move document from temp folder to permanent client folder</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Automatically for each document in Stage 2</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PUT</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Files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On success: IsFileMoved = true. On failure: exception email sent</w:t>
            </w:r>
          </w:p>
        </w:tc>
      </w:tr>
    </w:tbl>
    <w:p>
      <w:pPr>
        <w:spacing w:after="120"/>
      </w:pPr>
    </w:p>
    <w:p>
      <w:pPr>
        <w:pStyle w:val="Heading3"/>
        <w:spacing w:after="100" w:before="180"/>
      </w:pPr>
      <w:r>
        <w:rPr>
          <w:rFonts w:ascii="Arial" w:cs="Arial" w:eastAsia="Arial" w:hAnsi="Arial"/>
          <w:b/>
          <w:bCs/>
          <w:color w:val="2E75B6"/>
          <w:sz w:val="24"/>
          <w:szCs w:val="24"/>
        </w:rPr>
        <w:t xml:space="preserve">14.8 — Delete File (DeleteFileContent)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Remove a file from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Exception handling or cleanup</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DELETE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Files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Used during exception resolution</w:t>
            </w:r>
          </w:p>
        </w:tc>
      </w:tr>
    </w:tbl>
    <w:p>
      <w:pPr>
        <w:spacing w:after="120"/>
      </w:pPr>
    </w:p>
    <w:p>
      <w:pPr>
        <w:pStyle w:val="Heading3"/>
        <w:spacing w:after="100" w:before="180"/>
      </w:pPr>
      <w:r>
        <w:rPr>
          <w:rFonts w:ascii="Arial" w:cs="Arial" w:eastAsia="Arial" w:hAnsi="Arial"/>
          <w:b/>
          <w:bCs/>
          <w:color w:val="2E75B6"/>
          <w:sz w:val="24"/>
          <w:szCs w:val="24"/>
        </w:rPr>
        <w:t xml:space="preserve">14.9 — Delete Folder (PDSBoxDeleteFolder)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Delete the temporary staging folder after all files moved</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Automatically at start of Stage 3</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DELETE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Folders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On success: IsTempFolderEmpty = true</w:t>
            </w:r>
          </w:p>
        </w:tc>
      </w:tr>
    </w:tbl>
    <w:p>
      <w:pPr>
        <w:spacing w:after="120"/>
      </w:pPr>
    </w:p>
    <w:p>
      <w:pPr>
        <w:pStyle w:val="Heading3"/>
        <w:spacing w:after="100" w:before="180"/>
      </w:pPr>
      <w:r>
        <w:rPr>
          <w:rFonts w:ascii="Arial" w:cs="Arial" w:eastAsia="Arial" w:hAnsi="Arial"/>
          <w:b/>
          <w:bCs/>
          <w:color w:val="2E75B6"/>
          <w:sz w:val="24"/>
          <w:szCs w:val="24"/>
        </w:rPr>
        <w:t xml:space="preserve">14.10 — Grant Collaborator Access (ProvideCollaboratorAccess)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Grant user or service account access to a Box folder</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During folder setup as needed</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Direction</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Outbound (application → Box)</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Method</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POST</w:t>
            </w:r>
          </w:p>
        </w:tc>
      </w:tr>
      <w:tr>
        <w:tc>
          <w:tcPr>
            <w:tcW w:type="dxa" w:w="20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Box Collaborations API</w:t>
            </w:r>
          </w:p>
        </w:tc>
      </w:tr>
      <w:tr>
        <w:tc>
          <w:tcPr>
            <w:tcW w:type="dxa" w:w="2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Notes</w:t>
            </w:r>
          </w:p>
        </w:tc>
        <w:tc>
          <w:tcPr>
            <w:tcW w:type="dxa" w:w="73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Assigns collaborator permissions on target folder</w:t>
            </w:r>
          </w:p>
        </w:tc>
      </w:tr>
    </w:tbl>
    <w:p>
      <w:pPr>
        <w:spacing w:after="120"/>
      </w:pPr>
    </w:p>
    <w:p>
      <w:r>
        <w:br w:type="page"/>
      </w:r>
    </w:p>
    <w:p>
      <w:pPr>
        <w:pStyle w:val="Heading2"/>
        <w:spacing w:after="120" w:before="240"/>
      </w:pPr>
      <w:r>
        <w:rPr>
          <w:rFonts w:ascii="Arial" w:cs="Arial" w:eastAsia="Arial" w:hAnsi="Arial"/>
          <w:b/>
          <w:bCs/>
          <w:color w:val="1F4E79"/>
          <w:sz w:val="26"/>
          <w:szCs w:val="26"/>
        </w:rPr>
        <w:t xml:space="preserve">14.11 — Box File Metadata and Filename Convention</w:t>
      </w:r>
    </w:p>
    <w:p>
      <w:pPr>
        <w:spacing w:after="120" w:before="0"/>
      </w:pPr>
      <w:r>
        <w:rPr>
          <w:rFonts w:ascii="Arial" w:cs="Arial" w:eastAsia="Arial" w:hAnsi="Arial"/>
          <w:sz w:val="22"/>
          <w:szCs w:val="22"/>
        </w:rPr>
        <w:t xml:space="preserve">The application does not use Box’s native metadata template or classification features. No structured metadata fields are sent to Box beyond the filename and parent folder ID. All identifiable information about the document is encoded directly into the filename string itself.</w:t>
      </w:r>
    </w:p>
    <w:p>
      <w:pPr>
        <w:pStyle w:val="Heading3"/>
        <w:spacing w:after="100" w:before="180"/>
      </w:pPr>
      <w:r>
        <w:rPr>
          <w:rFonts w:ascii="Arial" w:cs="Arial" w:eastAsia="Arial" w:hAnsi="Arial"/>
          <w:b/>
          <w:bCs/>
          <w:color w:val="2E75B6"/>
          <w:sz w:val="24"/>
          <w:szCs w:val="24"/>
        </w:rPr>
        <w:t xml:space="preserve">What is sent to Box per file upload</w:t>
      </w:r>
    </w:p>
    <w:p>
      <w:pPr>
        <w:spacing w:after="80" w:before="0"/>
      </w:pPr>
      <w:r>
        <w:rPr>
          <w:rFonts w:ascii="Arial" w:cs="Arial" w:eastAsia="Arial" w:hAnsi="Arial"/>
          <w:sz w:val="22"/>
          <w:szCs w:val="22"/>
        </w:rPr>
        <w:t xml:space="preserve">Each file upload to Box is a multipart POST to the Box Content API (https://upload.box.com/api/2.0/files/content) with exactly two parts:</w:t>
      </w:r>
    </w:p>
    <w:p>
      <w:pPr>
        <w:numPr>
          <w:ilvl w:val="0"/>
          <w:numId w:val="1"/>
        </w:numPr>
        <w:spacing w:after="80"/>
      </w:pPr>
      <w:r>
        <w:rPr>
          <w:rFonts w:ascii="Arial" w:cs="Arial" w:eastAsia="Arial" w:hAnsi="Arial"/>
          <w:sz w:val="22"/>
          <w:szCs w:val="22"/>
        </w:rPr>
        <w:t xml:space="preserve">Part 1 — attributes (JSON): </w:t>
      </w:r>
      <w:r>
        <w:rPr>
          <w:rFonts w:ascii="Courier New" w:cs="Courier New" w:eastAsia="Courier New" w:hAnsi="Courier New"/>
          <w:sz w:val="18"/>
          <w:szCs w:val="18"/>
          <w:color w:val="2B2B2B"/>
        </w:rPr>
        <w:t xml:space="preserve">{"name": "&lt;filename&gt;", "parent": {"id": "&lt;folderID&gt;"}}</w:t>
      </w:r>
    </w:p>
    <w:p>
      <w:pPr>
        <w:numPr>
          <w:ilvl w:val="0"/>
          <w:numId w:val="1"/>
        </w:numPr>
        <w:spacing w:after="80"/>
      </w:pPr>
      <w:r>
        <w:rPr>
          <w:rFonts w:ascii="Arial" w:cs="Arial" w:eastAsia="Arial" w:hAnsi="Arial"/>
          <w:sz w:val="22"/>
          <w:szCs w:val="22"/>
        </w:rPr>
        <w:t xml:space="preserve">Part 2 — file binary: the raw PDF content (optionally password-protected before upload), with the filename as the part name and the MIME type as the content type</w:t>
      </w:r>
    </w:p>
    <w:p>
      <w:pPr>
        <w:numPr>
          <w:ilvl w:val="0"/>
          <w:numId w:val="1"/>
        </w:numPr>
        <w:spacing w:after="80"/>
      </w:pPr>
      <w:r>
        <w:rPr>
          <w:rFonts w:ascii="Arial" w:cs="Arial" w:eastAsia="Arial" w:hAnsi="Arial"/>
          <w:sz w:val="22"/>
          <w:szCs w:val="22"/>
        </w:rPr>
        <w:t xml:space="preserve">Authorization header: </w:t>
      </w:r>
      <w:r>
        <w:rPr>
          <w:rFonts w:ascii="Courier New" w:cs="Courier New" w:eastAsia="Courier New" w:hAnsi="Courier New"/>
          <w:sz w:val="18"/>
          <w:szCs w:val="18"/>
          <w:color w:val="2B2B2B"/>
        </w:rPr>
        <w:t xml:space="preserve">Bearer &lt;OAuth access token&gt;</w:t>
      </w:r>
    </w:p>
    <w:p>
      <w:pPr>
        <w:pStyle w:val="Heading3"/>
        <w:spacing w:after="100" w:before="180"/>
      </w:pPr>
      <w:r>
        <w:rPr>
          <w:rFonts w:ascii="Arial" w:cs="Arial" w:eastAsia="Arial" w:hAnsi="Arial"/>
          <w:b/>
          <w:bCs/>
          <w:color w:val="2E75B6"/>
          <w:sz w:val="24"/>
          <w:szCs w:val="24"/>
        </w:rPr>
        <w:t xml:space="preserve">Filename construction — the metadata strategy</w:t>
      </w:r>
    </w:p>
    <w:p>
      <w:pPr>
        <w:spacing w:after="120" w:before="0"/>
      </w:pPr>
      <w:r>
        <w:rPr>
          <w:rFonts w:ascii="Arial" w:cs="Arial" w:eastAsia="Arial" w:hAnsi="Arial"/>
          <w:sz w:val="22"/>
          <w:szCs w:val="22"/>
        </w:rPr>
        <w:t xml:space="preserve">The filename is the sole carrier of document metadata in Box. It is constructed by the SetIFFileName data transform before each upload, using a deterministic pattern that encodes client name, entity details (if applicable), tax year, and document type.</w:t>
      </w:r>
    </w:p>
    <w:p>
      <w:pPr>
        <w:spacing w:after="80" w:before="0"/>
      </w:pPr>
      <w:r>
        <w:rPr>
          <w:rFonts w:ascii="Arial" w:cs="Arial" w:eastAsia="Arial" w:hAnsi="Arial"/>
          <w:b/>
          <w:bCs/>
          <w:sz w:val="22"/>
          <w:szCs w:val="22"/>
        </w:rPr>
        <w:t xml:space="preserve">Pattern for individual (personal) documents:</w:t>
      </w:r>
    </w:p>
    <w:p>
      <w:pPr>
        <w:spacing w:after="80" w:before="0"/>
        <w:ind w:left="720"/>
      </w:pPr>
      <w:r>
        <w:rPr>
          <w:rFonts w:ascii="Courier New" w:cs="Courier New" w:eastAsia="Courier New" w:hAnsi="Courier New"/>
          <w:sz w:val="18"/>
          <w:szCs w:val="18"/>
          <w:color w:val="2B2B2B"/>
        </w:rPr>
        <w:t xml:space="preserve">LastName, FirstName - {DocumentYear} {DocumentType}.pdf</w:t>
      </w:r>
    </w:p>
    <w:p>
      <w:pPr>
        <w:spacing w:after="80" w:before="80"/>
      </w:pPr>
      <w:r>
        <w:rPr>
          <w:rFonts w:ascii="Arial" w:cs="Arial" w:eastAsia="Arial" w:hAnsi="Arial"/>
          <w:b/>
          <w:bCs/>
          <w:sz w:val="22"/>
          <w:szCs w:val="22"/>
        </w:rPr>
        <w:t xml:space="preserve">Pattern for entity (partnership/corporate) documents:</w:t>
      </w:r>
    </w:p>
    <w:p>
      <w:pPr>
        <w:spacing w:after="80" w:before="0"/>
        <w:ind w:left="720"/>
      </w:pPr>
      <w:r>
        <w:rPr>
          <w:rFonts w:ascii="Courier New" w:cs="Courier New" w:eastAsia="Courier New" w:hAnsi="Courier New"/>
          <w:sz w:val="18"/>
          <w:szCs w:val="18"/>
          <w:color w:val="2B2B2B"/>
        </w:rPr>
        <w:t xml:space="preserve">LastName, FirstName - {EntityTypeNumber} {EntityName} - {DocumentYear} {DocumentType}.pdf</w:t>
      </w:r>
    </w:p>
    <w:p>
      <w:pPr>
        <w:spacing w:after="80" w:before="120"/>
      </w:pPr>
      <w:r>
        <w:rPr>
          <w:rFonts w:ascii="Arial" w:cs="Arial" w:eastAsia="Arial" w:hAnsi="Arial"/>
          <w:b/>
          <w:bCs/>
          <w:sz w:val="22"/>
          <w:szCs w:val="22"/>
        </w:rPr>
        <w:t xml:space="preserve">Examples:</w:t>
      </w:r>
    </w:p>
    <w:p>
      <w:pPr>
        <w:spacing w:after="0" w:before="0"/>
        <w:ind w:left="720"/>
      </w:pPr>
      <w:r>
        <w:rPr>
          <w:rFonts w:ascii="Courier New" w:cs="Courier New" w:eastAsia="Courier New" w:hAnsi="Courier New"/>
          <w:sz w:val="18"/>
          <w:szCs w:val="18"/>
          <w:color w:val="2B2B2B"/>
        </w:rPr>
        <w:t xml:space="preserve">Smith, John - 2024 Tax Return.pdf</w:t>
      </w:r>
    </w:p>
    <w:p>
      <w:pPr>
        <w:spacing w:after="0" w:before="0"/>
        <w:ind w:left="720"/>
      </w:pPr>
      <w:r>
        <w:rPr>
          <w:rFonts w:ascii="Courier New" w:cs="Courier New" w:eastAsia="Courier New" w:hAnsi="Courier New"/>
          <w:sz w:val="18"/>
          <w:szCs w:val="18"/>
          <w:color w:val="2B2B2B"/>
        </w:rPr>
        <w:t xml:space="preserve">Smith, John - 2024 Draft K-1.pdf</w:t>
      </w:r>
    </w:p>
    <w:p>
      <w:pPr>
        <w:spacing w:after="120" w:before="0"/>
        <w:ind w:left="720"/>
      </w:pPr>
      <w:r>
        <w:rPr>
          <w:rFonts w:ascii="Courier New" w:cs="Courier New" w:eastAsia="Courier New" w:hAnsi="Courier New"/>
          <w:sz w:val="18"/>
          <w:szCs w:val="18"/>
          <w:color w:val="2B2B2B"/>
        </w:rPr>
        <w:t xml:space="preserve">Smith, John - 001 Oakwood Medical Partners LLC - 2024 K-1.pdf</w:t>
      </w:r>
    </w:p>
    <w:p>
      <w:pPr>
        <w:pStyle w:val="Heading3"/>
        <w:spacing w:after="100" w:before="180"/>
      </w:pPr>
      <w:r>
        <w:rPr>
          <w:rFonts w:ascii="Arial" w:cs="Arial" w:eastAsia="Arial" w:hAnsi="Arial"/>
          <w:b/>
          <w:bCs/>
          <w:color w:val="2E75B6"/>
          <w:sz w:val="24"/>
          <w:szCs w:val="24"/>
        </w:rPr>
        <w:t xml:space="preserve">Filename construction steps (SetIFFileName logic)</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2000"/>
        <w:gridCol w:w="3360"/>
        <w:gridCol w:w="3400"/>
      </w:tblGrid>
      <w:tr>
        <w:tc>
          <w:tcPr>
            <w:tcW w:type="dxa" w:w="600"/>
            <w:shd w:fill="D6E4F0" w:val="clear"/>
            <w:tcMar>
              <w:top w:type="dxa" w:w="80"/>
              <w:start w:type="dxa" w:w="120"/>
              <w:bottom w:type="dxa" w:w="80"/>
              <w:end w:type="dxa" w:w="120"/>
            </w:tcMar>
          </w:tcPr>
          <w:p>
            <w:r>
              <w:rPr>
                <w:rFonts w:ascii="Arial" w:hAnsi="Arial"/>
                <w:b/>
                <w:sz w:val="22"/>
              </w:rPr>
              <w:t>Step</w:t>
            </w:r>
          </w:p>
        </w:tc>
        <w:tc>
          <w:tcPr>
            <w:tcW w:type="dxa" w:w="2000"/>
            <w:shd w:fill="D6E4F0" w:val="clear"/>
            <w:tcMar>
              <w:top w:type="dxa" w:w="80"/>
              <w:start w:type="dxa" w:w="120"/>
              <w:bottom w:type="dxa" w:w="80"/>
              <w:end w:type="dxa" w:w="120"/>
            </w:tcMar>
          </w:tcPr>
          <w:p>
            <w:r>
              <w:rPr>
                <w:rFonts w:ascii="Arial" w:hAnsi="Arial"/>
                <w:b/>
                <w:sz w:val="22"/>
              </w:rPr>
              <w:t>Variable</w:t>
            </w:r>
          </w:p>
        </w:tc>
        <w:tc>
          <w:tcPr>
            <w:tcW w:type="dxa" w:w="3360"/>
            <w:shd w:fill="D6E4F0" w:val="clear"/>
            <w:tcMar>
              <w:top w:type="dxa" w:w="80"/>
              <w:start w:type="dxa" w:w="120"/>
              <w:bottom w:type="dxa" w:w="80"/>
              <w:end w:type="dxa" w:w="120"/>
            </w:tcMar>
          </w:tcPr>
          <w:p>
            <w:r>
              <w:rPr>
                <w:rFonts w:ascii="Arial" w:hAnsi="Arial"/>
                <w:b/>
                <w:sz w:val="22"/>
              </w:rPr>
              <w:t>Source field</w:t>
            </w:r>
          </w:p>
        </w:tc>
        <w:tc>
          <w:tcPr>
            <w:tcW w:type="dxa" w:w="3400"/>
            <w:shd w:fill="D6E4F0" w:val="clear"/>
            <w:tcMar>
              <w:top w:type="dxa" w:w="80"/>
              <w:start w:type="dxa" w:w="120"/>
              <w:bottom w:type="dxa" w:w="80"/>
              <w:end w:type="dxa" w:w="120"/>
            </w:tcMar>
          </w:tcPr>
          <w:p>
            <w:r>
              <w:rPr>
                <w:rFonts w:ascii="Arial" w:hAnsi="Arial"/>
                <w:b/>
                <w:sz w:val="22"/>
              </w:rPr>
              <w:t>Result / Notes</w:t>
            </w:r>
          </w:p>
        </w:tc>
      </w:tr>
      <w:tr>
        <w:tc>
          <w:tcPr>
            <w:tcW w:type="dxa" w:w="600"/>
            <w:tcMar>
              <w:top w:type="dxa" w:w="80"/>
              <w:start w:type="dxa" w:w="120"/>
              <w:bottom w:type="dxa" w:w="80"/>
              <w:end w:type="dxa" w:w="120"/>
            </w:tcMar>
          </w:tcPr>
          <w:p>
            <w:r>
              <w:rPr>
                <w:rFonts w:ascii="Arial" w:hAnsi="Arial"/>
                <w:sz w:val="20"/>
              </w:rPr>
              <w:t>1</w:t>
            </w:r>
          </w:p>
        </w:tc>
        <w:tc>
          <w:tcPr>
            <w:tcW w:type="dxa" w:w="2000"/>
            <w:tcMar>
              <w:top w:type="dxa" w:w="80"/>
              <w:start w:type="dxa" w:w="120"/>
              <w:bottom w:type="dxa" w:w="80"/>
              <w:end w:type="dxa" w:w="120"/>
            </w:tcMar>
          </w:tcPr>
          <w:p>
            <w:r>
              <w:rPr>
                <w:rFonts w:ascii="Arial" w:hAnsi="Arial"/>
                <w:sz w:val="20"/>
              </w:rPr>
              <w:t>LastName</w:t>
            </w:r>
          </w:p>
        </w:tc>
        <w:tc>
          <w:tcPr>
            <w:tcW w:type="dxa" w:w="3360"/>
            <w:tcMar>
              <w:top w:type="dxa" w:w="80"/>
              <w:start w:type="dxa" w:w="120"/>
              <w:bottom w:type="dxa" w:w="80"/>
              <w:end w:type="dxa" w:w="120"/>
            </w:tcMar>
          </w:tcPr>
          <w:p>
            <w:r>
              <w:rPr>
                <w:rFonts w:ascii="Arial" w:hAnsi="Arial"/>
                <w:sz w:val="20"/>
              </w:rPr>
              <w:t>Client Last Name</w:t>
            </w:r>
          </w:p>
        </w:tc>
        <w:tc>
          <w:tcPr>
            <w:tcW w:type="dxa" w:w="3400"/>
            <w:tcMar>
              <w:top w:type="dxa" w:w="80"/>
              <w:start w:type="dxa" w:w="120"/>
              <w:bottom w:type="dxa" w:w="80"/>
              <w:end w:type="dxa" w:w="120"/>
            </w:tcMar>
          </w:tcPr>
          <w:p>
            <w:r>
              <w:rPr>
                <w:rFonts w:ascii="Arial" w:hAnsi="Arial"/>
                <w:sz w:val="20"/>
              </w:rPr>
              <w:t>e.g. “Smith, ” (with comma-space)</w:t>
            </w:r>
          </w:p>
        </w:tc>
      </w:tr>
      <w:tr>
        <w:tc>
          <w:tcPr>
            <w:tcW w:type="dxa" w:w="600"/>
            <w:shd w:fill="F2F2F2" w:val="clear"/>
            <w:tcMar>
              <w:top w:type="dxa" w:w="80"/>
              <w:start w:type="dxa" w:w="120"/>
              <w:bottom w:type="dxa" w:w="80"/>
              <w:end w:type="dxa" w:w="120"/>
            </w:tcMar>
          </w:tcPr>
          <w:p>
            <w:r>
              <w:rPr>
                <w:rFonts w:ascii="Arial" w:hAnsi="Arial"/>
                <w:sz w:val="20"/>
              </w:rPr>
              <w:t>2</w:t>
            </w:r>
          </w:p>
        </w:tc>
        <w:tc>
          <w:tcPr>
            <w:tcW w:type="dxa" w:w="2000"/>
            <w:shd w:fill="F2F2F2" w:val="clear"/>
            <w:tcMar>
              <w:top w:type="dxa" w:w="80"/>
              <w:start w:type="dxa" w:w="120"/>
              <w:bottom w:type="dxa" w:w="80"/>
              <w:end w:type="dxa" w:w="120"/>
            </w:tcMar>
          </w:tcPr>
          <w:p>
            <w:r>
              <w:rPr>
                <w:rFonts w:ascii="Arial" w:hAnsi="Arial"/>
                <w:sz w:val="20"/>
              </w:rPr>
              <w:t>FirstName</w:t>
            </w:r>
          </w:p>
        </w:tc>
        <w:tc>
          <w:tcPr>
            <w:tcW w:type="dxa" w:w="3360"/>
            <w:shd w:fill="F2F2F2" w:val="clear"/>
            <w:tcMar>
              <w:top w:type="dxa" w:w="80"/>
              <w:start w:type="dxa" w:w="120"/>
              <w:bottom w:type="dxa" w:w="80"/>
              <w:end w:type="dxa" w:w="120"/>
            </w:tcMar>
          </w:tcPr>
          <w:p>
            <w:r>
              <w:rPr>
                <w:rFonts w:ascii="Arial" w:hAnsi="Arial"/>
                <w:sz w:val="20"/>
              </w:rPr>
              <w:t>Client First Name</w:t>
            </w:r>
          </w:p>
        </w:tc>
        <w:tc>
          <w:tcPr>
            <w:tcW w:type="dxa" w:w="3400"/>
            <w:shd w:fill="F2F2F2" w:val="clear"/>
            <w:tcMar>
              <w:top w:type="dxa" w:w="80"/>
              <w:start w:type="dxa" w:w="120"/>
              <w:bottom w:type="dxa" w:w="80"/>
              <w:end w:type="dxa" w:w="120"/>
            </w:tcMar>
          </w:tcPr>
          <w:p>
            <w:r>
              <w:rPr>
                <w:rFonts w:ascii="Arial" w:hAnsi="Arial"/>
                <w:sz w:val="20"/>
              </w:rPr>
              <w:t>e.g. “John”</w:t>
            </w:r>
          </w:p>
        </w:tc>
      </w:tr>
      <w:tr>
        <w:tc>
          <w:tcPr>
            <w:tcW w:type="dxa" w:w="600"/>
            <w:tcMar>
              <w:top w:type="dxa" w:w="80"/>
              <w:start w:type="dxa" w:w="120"/>
              <w:bottom w:type="dxa" w:w="80"/>
              <w:end w:type="dxa" w:w="120"/>
            </w:tcMar>
          </w:tcPr>
          <w:p>
            <w:r>
              <w:rPr>
                <w:rFonts w:ascii="Arial" w:hAnsi="Arial"/>
                <w:sz w:val="20"/>
              </w:rPr>
              <w:t>3</w:t>
            </w:r>
          </w:p>
        </w:tc>
        <w:tc>
          <w:tcPr>
            <w:tcW w:type="dxa" w:w="2000"/>
            <w:tcMar>
              <w:top w:type="dxa" w:w="80"/>
              <w:start w:type="dxa" w:w="120"/>
              <w:bottom w:type="dxa" w:w="80"/>
              <w:end w:type="dxa" w:w="120"/>
            </w:tcMar>
          </w:tcPr>
          <w:p>
            <w:r>
              <w:rPr>
                <w:rFonts w:ascii="Arial" w:hAnsi="Arial"/>
                <w:sz w:val="20"/>
              </w:rPr>
              <w:t>FullName</w:t>
            </w:r>
          </w:p>
        </w:tc>
        <w:tc>
          <w:tcPr>
            <w:tcW w:type="dxa" w:w="3360"/>
            <w:tcMar>
              <w:top w:type="dxa" w:w="80"/>
              <w:start w:type="dxa" w:w="120"/>
              <w:bottom w:type="dxa" w:w="80"/>
              <w:end w:type="dxa" w:w="120"/>
            </w:tcMar>
          </w:tcPr>
          <w:p>
            <w:r>
              <w:rPr>
                <w:rFonts w:ascii="Arial" w:hAnsi="Arial"/>
                <w:sz w:val="20"/>
              </w:rPr>
              <w:t>LastName + FirstName</w:t>
            </w:r>
          </w:p>
        </w:tc>
        <w:tc>
          <w:tcPr>
            <w:tcW w:type="dxa" w:w="3400"/>
            <w:tcMar>
              <w:top w:type="dxa" w:w="80"/>
              <w:start w:type="dxa" w:w="120"/>
              <w:bottom w:type="dxa" w:w="80"/>
              <w:end w:type="dxa" w:w="120"/>
            </w:tcMar>
          </w:tcPr>
          <w:p>
            <w:r>
              <w:rPr>
                <w:rFonts w:ascii="Arial" w:hAnsi="Arial"/>
                <w:sz w:val="20"/>
              </w:rPr>
              <w:t>e.g. “Smith, John”</w:t>
            </w:r>
          </w:p>
        </w:tc>
      </w:tr>
      <w:tr>
        <w:tc>
          <w:tcPr>
            <w:tcW w:type="dxa" w:w="600"/>
            <w:shd w:fill="F2F2F2" w:val="clear"/>
            <w:tcMar>
              <w:top w:type="dxa" w:w="80"/>
              <w:start w:type="dxa" w:w="120"/>
              <w:bottom w:type="dxa" w:w="80"/>
              <w:end w:type="dxa" w:w="120"/>
            </w:tcMar>
          </w:tcPr>
          <w:p>
            <w:r>
              <w:rPr>
                <w:rFonts w:ascii="Arial" w:hAnsi="Arial"/>
                <w:sz w:val="20"/>
              </w:rPr>
              <w:t>4</w:t>
            </w:r>
          </w:p>
        </w:tc>
        <w:tc>
          <w:tcPr>
            <w:tcW w:type="dxa" w:w="2000"/>
            <w:shd w:fill="F2F2F2" w:val="clear"/>
            <w:tcMar>
              <w:top w:type="dxa" w:w="80"/>
              <w:start w:type="dxa" w:w="120"/>
              <w:bottom w:type="dxa" w:w="80"/>
              <w:end w:type="dxa" w:w="120"/>
            </w:tcMar>
          </w:tcPr>
          <w:p>
            <w:r>
              <w:rPr>
                <w:rFonts w:ascii="Arial" w:hAnsi="Arial"/>
                <w:sz w:val="20"/>
              </w:rPr>
              <w:t>DocType</w:t>
            </w:r>
          </w:p>
        </w:tc>
        <w:tc>
          <w:tcPr>
            <w:tcW w:type="dxa" w:w="3360"/>
            <w:shd w:fill="F2F2F2" w:val="clear"/>
            <w:tcMar>
              <w:top w:type="dxa" w:w="80"/>
              <w:start w:type="dxa" w:w="120"/>
              <w:bottom w:type="dxa" w:w="80"/>
              <w:end w:type="dxa" w:w="120"/>
            </w:tcMar>
          </w:tcPr>
          <w:p>
            <w:r>
              <w:rPr>
                <w:rFonts w:ascii="Arial" w:hAnsi="Arial"/>
                <w:sz w:val="20"/>
              </w:rPr>
              <w:t>Document Type field value</w:t>
            </w:r>
          </w:p>
        </w:tc>
        <w:tc>
          <w:tcPr>
            <w:tcW w:type="dxa" w:w="3400"/>
            <w:shd w:fill="F2F2F2" w:val="clear"/>
            <w:tcMar>
              <w:top w:type="dxa" w:w="80"/>
              <w:start w:type="dxa" w:w="120"/>
              <w:bottom w:type="dxa" w:w="80"/>
              <w:end w:type="dxa" w:w="120"/>
            </w:tcMar>
          </w:tcPr>
          <w:p>
            <w:r>
              <w:rPr>
                <w:rFonts w:ascii="Arial" w:hAnsi="Arial"/>
                <w:sz w:val="20"/>
              </w:rPr>
              <w:t>e.g. “K-1”, “Tax Return”</w:t>
            </w:r>
          </w:p>
        </w:tc>
      </w:tr>
      <w:tr>
        <w:tc>
          <w:tcPr>
            <w:tcW w:type="dxa" w:w="600"/>
            <w:tcMar>
              <w:top w:type="dxa" w:w="80"/>
              <w:start w:type="dxa" w:w="120"/>
              <w:bottom w:type="dxa" w:w="80"/>
              <w:end w:type="dxa" w:w="120"/>
            </w:tcMar>
          </w:tcPr>
          <w:p>
            <w:r>
              <w:rPr>
                <w:rFonts w:ascii="Arial" w:hAnsi="Arial"/>
                <w:sz w:val="20"/>
              </w:rPr>
              <w:t>5</w:t>
            </w:r>
          </w:p>
        </w:tc>
        <w:tc>
          <w:tcPr>
            <w:tcW w:type="dxa" w:w="2000"/>
            <w:tcMar>
              <w:top w:type="dxa" w:w="80"/>
              <w:start w:type="dxa" w:w="120"/>
              <w:bottom w:type="dxa" w:w="80"/>
              <w:end w:type="dxa" w:w="120"/>
            </w:tcMar>
          </w:tcPr>
          <w:p>
            <w:r>
              <w:rPr>
                <w:rFonts w:ascii="Arial" w:hAnsi="Arial"/>
                <w:sz w:val="20"/>
              </w:rPr>
              <w:t>Year</w:t>
            </w:r>
          </w:p>
        </w:tc>
        <w:tc>
          <w:tcPr>
            <w:tcW w:type="dxa" w:w="3360"/>
            <w:tcMar>
              <w:top w:type="dxa" w:w="80"/>
              <w:start w:type="dxa" w:w="120"/>
              <w:bottom w:type="dxa" w:w="80"/>
              <w:end w:type="dxa" w:w="120"/>
            </w:tcMar>
          </w:tcPr>
          <w:p>
            <w:r>
              <w:rPr>
                <w:rFonts w:ascii="Arial" w:hAnsi="Arial"/>
                <w:sz w:val="20"/>
              </w:rPr>
              <w:t>Document Year field value</w:t>
            </w:r>
          </w:p>
        </w:tc>
        <w:tc>
          <w:tcPr>
            <w:tcW w:type="dxa" w:w="3400"/>
            <w:tcMar>
              <w:top w:type="dxa" w:w="80"/>
              <w:start w:type="dxa" w:w="120"/>
              <w:bottom w:type="dxa" w:w="80"/>
              <w:end w:type="dxa" w:w="120"/>
            </w:tcMar>
          </w:tcPr>
          <w:p>
            <w:r>
              <w:rPr>
                <w:rFonts w:ascii="Arial" w:hAnsi="Arial"/>
                <w:sz w:val="20"/>
              </w:rPr>
              <w:t>e.g. “2024”</w:t>
            </w:r>
          </w:p>
        </w:tc>
      </w:tr>
      <w:tr>
        <w:tc>
          <w:tcPr>
            <w:tcW w:type="dxa" w:w="600"/>
            <w:shd w:fill="F2F2F2" w:val="clear"/>
            <w:tcMar>
              <w:top w:type="dxa" w:w="80"/>
              <w:start w:type="dxa" w:w="120"/>
              <w:bottom w:type="dxa" w:w="80"/>
              <w:end w:type="dxa" w:w="120"/>
            </w:tcMar>
          </w:tcPr>
          <w:p>
            <w:r>
              <w:rPr>
                <w:rFonts w:ascii="Arial" w:hAnsi="Arial"/>
                <w:sz w:val="20"/>
              </w:rPr>
              <w:t>6</w:t>
            </w:r>
          </w:p>
        </w:tc>
        <w:tc>
          <w:tcPr>
            <w:tcW w:type="dxa" w:w="2000"/>
            <w:shd w:fill="F2F2F2" w:val="clear"/>
            <w:tcMar>
              <w:top w:type="dxa" w:w="80"/>
              <w:start w:type="dxa" w:w="120"/>
              <w:bottom w:type="dxa" w:w="80"/>
              <w:end w:type="dxa" w:w="120"/>
            </w:tcMar>
          </w:tcPr>
          <w:p>
            <w:r>
              <w:rPr>
                <w:rFonts w:ascii="Arial" w:hAnsi="Arial"/>
                <w:sz w:val="20"/>
              </w:rPr>
              <w:t>EntityTypeNumber</w:t>
            </w:r>
          </w:p>
        </w:tc>
        <w:tc>
          <w:tcPr>
            <w:tcW w:type="dxa" w:w="3360"/>
            <w:shd w:fill="F2F2F2" w:val="clear"/>
            <w:tcMar>
              <w:top w:type="dxa" w:w="80"/>
              <w:start w:type="dxa" w:w="120"/>
              <w:bottom w:type="dxa" w:w="80"/>
              <w:end w:type="dxa" w:w="120"/>
            </w:tcMar>
          </w:tcPr>
          <w:p>
            <w:r>
              <w:rPr>
                <w:rFonts w:ascii="Arial" w:hAnsi="Arial"/>
                <w:sz w:val="20"/>
              </w:rPr>
              <w:t>Entity Type Number field (Partnership only)</w:t>
            </w:r>
          </w:p>
        </w:tc>
        <w:tc>
          <w:tcPr>
            <w:tcW w:type="dxa" w:w="3400"/>
            <w:shd w:fill="F2F2F2" w:val="clear"/>
            <w:tcMar>
              <w:top w:type="dxa" w:w="80"/>
              <w:start w:type="dxa" w:w="120"/>
              <w:bottom w:type="dxa" w:w="80"/>
              <w:end w:type="dxa" w:w="120"/>
            </w:tcMar>
          </w:tcPr>
          <w:p>
            <w:r>
              <w:rPr>
                <w:rFonts w:ascii="Arial" w:hAnsi="Arial"/>
                <w:sz w:val="20"/>
              </w:rPr>
              <w:t>e.g. “001” — inserted only when EntityType = Partnership</w:t>
            </w:r>
          </w:p>
        </w:tc>
      </w:tr>
      <w:tr>
        <w:tc>
          <w:tcPr>
            <w:tcW w:type="dxa" w:w="600"/>
            <w:tcMar>
              <w:top w:type="dxa" w:w="80"/>
              <w:start w:type="dxa" w:w="120"/>
              <w:bottom w:type="dxa" w:w="80"/>
              <w:end w:type="dxa" w:w="120"/>
            </w:tcMar>
          </w:tcPr>
          <w:p>
            <w:r>
              <w:rPr>
                <w:rFonts w:ascii="Arial" w:hAnsi="Arial"/>
                <w:sz w:val="20"/>
              </w:rPr>
              <w:t>7</w:t>
            </w:r>
          </w:p>
        </w:tc>
        <w:tc>
          <w:tcPr>
            <w:tcW w:type="dxa" w:w="2000"/>
            <w:tcMar>
              <w:top w:type="dxa" w:w="80"/>
              <w:start w:type="dxa" w:w="120"/>
              <w:bottom w:type="dxa" w:w="80"/>
              <w:end w:type="dxa" w:w="120"/>
            </w:tcMar>
          </w:tcPr>
          <w:p>
            <w:r>
              <w:rPr>
                <w:rFonts w:ascii="Arial" w:hAnsi="Arial"/>
                <w:sz w:val="20"/>
              </w:rPr>
              <w:t>EntityName</w:t>
            </w:r>
          </w:p>
        </w:tc>
        <w:tc>
          <w:tcPr>
            <w:tcW w:type="dxa" w:w="3360"/>
            <w:tcMar>
              <w:top w:type="dxa" w:w="80"/>
              <w:start w:type="dxa" w:w="120"/>
              <w:bottom w:type="dxa" w:w="80"/>
              <w:end w:type="dxa" w:w="120"/>
            </w:tcMar>
          </w:tcPr>
          <w:p>
            <w:r>
              <w:rPr>
                <w:rFonts w:ascii="Arial" w:hAnsi="Arial"/>
                <w:sz w:val="20"/>
              </w:rPr>
              <w:t>Entity Name field (Partnership only)</w:t>
            </w:r>
          </w:p>
        </w:tc>
        <w:tc>
          <w:tcPr>
            <w:tcW w:type="dxa" w:w="3400"/>
            <w:tcMar>
              <w:top w:type="dxa" w:w="80"/>
              <w:start w:type="dxa" w:w="120"/>
              <w:bottom w:type="dxa" w:w="80"/>
              <w:end w:type="dxa" w:w="120"/>
            </w:tcMar>
          </w:tcPr>
          <w:p>
            <w:r>
              <w:rPr>
                <w:rFonts w:ascii="Arial" w:hAnsi="Arial"/>
                <w:sz w:val="20"/>
              </w:rPr>
              <w:t>e.g. “Oakwood Medical Partners LLC” — inserted only when EntityType = Partnership</w:t>
            </w:r>
          </w:p>
        </w:tc>
      </w:tr>
      <w:tr>
        <w:tc>
          <w:tcPr>
            <w:tcW w:type="dxa" w:w="600"/>
            <w:shd w:fill="F2F2F2" w:val="clear"/>
            <w:tcMar>
              <w:top w:type="dxa" w:w="80"/>
              <w:start w:type="dxa" w:w="120"/>
              <w:bottom w:type="dxa" w:w="80"/>
              <w:end w:type="dxa" w:w="120"/>
            </w:tcMar>
          </w:tcPr>
          <w:p>
            <w:r>
              <w:rPr>
                <w:rFonts w:ascii="Arial" w:hAnsi="Arial"/>
                <w:sz w:val="20"/>
              </w:rPr>
              <w:t>8</w:t>
            </w:r>
          </w:p>
        </w:tc>
        <w:tc>
          <w:tcPr>
            <w:tcW w:type="dxa" w:w="2000"/>
            <w:shd w:fill="F2F2F2" w:val="clear"/>
            <w:tcMar>
              <w:top w:type="dxa" w:w="80"/>
              <w:start w:type="dxa" w:w="120"/>
              <w:bottom w:type="dxa" w:w="80"/>
              <w:end w:type="dxa" w:w="120"/>
            </w:tcMar>
          </w:tcPr>
          <w:p>
            <w:r>
              <w:rPr>
                <w:rFonts w:ascii="Arial" w:hAnsi="Arial"/>
                <w:sz w:val="20"/>
              </w:rPr>
              <w:t>FileName (final)</w:t>
            </w:r>
          </w:p>
        </w:tc>
        <w:tc>
          <w:tcPr>
            <w:tcW w:type="dxa" w:w="3360"/>
            <w:shd w:fill="F2F2F2" w:val="clear"/>
            <w:tcMar>
              <w:top w:type="dxa" w:w="80"/>
              <w:start w:type="dxa" w:w="120"/>
              <w:bottom w:type="dxa" w:w="80"/>
              <w:end w:type="dxa" w:w="120"/>
            </w:tcMar>
          </w:tcPr>
          <w:p>
            <w:r>
              <w:rPr>
                <w:rFonts w:ascii="Arial" w:hAnsi="Arial"/>
                <w:sz w:val="20"/>
              </w:rPr>
              <w:t>FullName + “ - ” + Year + “ ” + DocType + “.pdf”</w:t>
            </w:r>
          </w:p>
        </w:tc>
        <w:tc>
          <w:tcPr>
            <w:tcW w:type="dxa" w:w="3400"/>
            <w:shd w:fill="F2F2F2" w:val="clear"/>
            <w:tcMar>
              <w:top w:type="dxa" w:w="80"/>
              <w:start w:type="dxa" w:w="120"/>
              <w:bottom w:type="dxa" w:w="80"/>
              <w:end w:type="dxa" w:w="120"/>
            </w:tcMar>
          </w:tcPr>
          <w:p>
            <w:r>
              <w:rPr>
                <w:rFonts w:ascii="Arial" w:hAnsi="Arial"/>
                <w:sz w:val="20"/>
              </w:rPr>
              <w:t>Final filename sent to Box</w:t>
            </w:r>
          </w:p>
        </w:tc>
      </w:tr>
    </w:tbl>
    <w:p>
      <w:pPr>
        <w:pStyle w:val="Heading3"/>
        <w:spacing w:after="100" w:before="180"/>
      </w:pPr>
      <w:r>
        <w:rPr>
          <w:rFonts w:ascii="Arial" w:cs="Arial" w:eastAsia="Arial" w:hAnsi="Arial"/>
          <w:b/>
          <w:bCs/>
          <w:color w:val="2E75B6"/>
          <w:sz w:val="24"/>
          <w:szCs w:val="24"/>
        </w:rPr>
        <w:t xml:space="preserve">Box folder destinations per file</w:t>
      </w:r>
    </w:p>
    <w:p>
      <w:pPr>
        <w:spacing w:after="120" w:before="0"/>
      </w:pPr>
      <w:r>
        <w:rPr>
          <w:rFonts w:ascii="Arial" w:cs="Arial" w:eastAsia="Arial" w:hAnsi="Arial"/>
          <w:sz w:val="22"/>
          <w:szCs w:val="22"/>
        </w:rPr>
        <w:t xml:space="preserve">Each document is moved to up to three Box folder destinations (not one), depending on document type. The folder structure provides the contextual metadata that the filename cannot — specifically the document category and client identity at the folder level.</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4560"/>
      </w:tblGrid>
      <w:tr>
        <w:tc>
          <w:tcPr>
            <w:tcW w:type="dxa" w:w="2400"/>
            <w:shd w:fill="D6E4F0" w:val="clear"/>
            <w:tcMar>
              <w:top w:type="dxa" w:w="80"/>
              <w:start w:type="dxa" w:w="120"/>
              <w:bottom w:type="dxa" w:w="80"/>
              <w:end w:type="dxa" w:w="120"/>
            </w:tcMar>
          </w:tcPr>
          <w:p>
            <w:r>
              <w:rPr>
                <w:rFonts w:ascii="Arial" w:hAnsi="Arial"/>
                <w:b/>
                <w:sz w:val="22"/>
              </w:rPr>
              <w:t>Destination</w:t>
            </w:r>
          </w:p>
        </w:tc>
        <w:tc>
          <w:tcPr>
            <w:tcW w:type="dxa" w:w="2400"/>
            <w:shd w:fill="D6E4F0" w:val="clear"/>
            <w:tcMar>
              <w:top w:type="dxa" w:w="80"/>
              <w:start w:type="dxa" w:w="120"/>
              <w:bottom w:type="dxa" w:w="80"/>
              <w:end w:type="dxa" w:w="120"/>
            </w:tcMar>
          </w:tcPr>
          <w:p>
            <w:r>
              <w:rPr>
                <w:rFonts w:ascii="Arial" w:hAnsi="Arial"/>
                <w:b/>
                <w:sz w:val="22"/>
              </w:rPr>
              <w:t>Folder ID source</w:t>
            </w:r>
          </w:p>
        </w:tc>
        <w:tc>
          <w:tcPr>
            <w:tcW w:type="dxa" w:w="4560"/>
            <w:shd w:fill="D6E4F0" w:val="clear"/>
            <w:tcMar>
              <w:top w:type="dxa" w:w="80"/>
              <w:start w:type="dxa" w:w="120"/>
              <w:bottom w:type="dxa" w:w="80"/>
              <w:end w:type="dxa" w:w="120"/>
            </w:tcMar>
          </w:tcPr>
          <w:p>
            <w:r>
              <w:rPr>
                <w:rFonts w:ascii="Arial" w:hAnsi="Arial"/>
                <w:b/>
                <w:sz w:val="22"/>
              </w:rPr>
              <w:t>Applies to</w:t>
            </w:r>
          </w:p>
        </w:tc>
      </w:tr>
      <w:tr>
        <w:tc>
          <w:tcPr>
            <w:tcW w:type="dxa" w:w="2400"/>
            <w:tcMar>
              <w:top w:type="dxa" w:w="80"/>
              <w:start w:type="dxa" w:w="120"/>
              <w:bottom w:type="dxa" w:w="80"/>
              <w:end w:type="dxa" w:w="120"/>
            </w:tcMar>
          </w:tcPr>
          <w:p>
            <w:r>
              <w:rPr>
                <w:rFonts w:ascii="Arial" w:hAnsi="Arial"/>
                <w:sz w:val="20"/>
              </w:rPr>
              <w:t>External permanent folder</w:t>
            </w:r>
          </w:p>
        </w:tc>
        <w:tc>
          <w:tcPr>
            <w:tcW w:type="dxa" w:w="2400"/>
            <w:tcMar>
              <w:top w:type="dxa" w:w="80"/>
              <w:start w:type="dxa" w:w="120"/>
              <w:bottom w:type="dxa" w:w="80"/>
              <w:end w:type="dxa" w:w="120"/>
            </w:tcMar>
          </w:tcPr>
          <w:p>
            <w:r>
              <w:rPr>
                <w:rFonts w:ascii="Arial" w:hAnsi="Arial"/>
                <w:sz w:val="20"/>
              </w:rPr>
              <w:t>ExternalSubFolderID2</w:t>
            </w:r>
          </w:p>
        </w:tc>
        <w:tc>
          <w:tcPr>
            <w:tcW w:type="dxa" w:w="4560"/>
            <w:tcMar>
              <w:top w:type="dxa" w:w="80"/>
              <w:start w:type="dxa" w:w="120"/>
              <w:bottom w:type="dxa" w:w="80"/>
              <w:end w:type="dxa" w:w="120"/>
            </w:tcMar>
          </w:tcPr>
          <w:p>
            <w:r>
              <w:rPr>
                <w:rFonts w:ascii="Arial" w:hAnsi="Arial"/>
                <w:sz w:val="20"/>
              </w:rPr>
              <w:t>All document types</w:t>
            </w:r>
          </w:p>
        </w:tc>
      </w:tr>
      <w:tr>
        <w:tc>
          <w:tcPr>
            <w:tcW w:type="dxa" w:w="2400"/>
            <w:shd w:fill="F2F2F2" w:val="clear"/>
            <w:tcMar>
              <w:top w:type="dxa" w:w="80"/>
              <w:start w:type="dxa" w:w="120"/>
              <w:bottom w:type="dxa" w:w="80"/>
              <w:end w:type="dxa" w:w="120"/>
            </w:tcMar>
          </w:tcPr>
          <w:p>
            <w:r>
              <w:rPr>
                <w:rFonts w:ascii="Arial" w:hAnsi="Arial"/>
                <w:sz w:val="20"/>
              </w:rPr>
              <w:t>Internal quick-view folder</w:t>
            </w:r>
          </w:p>
        </w:tc>
        <w:tc>
          <w:tcPr>
            <w:tcW w:type="dxa" w:w="2400"/>
            <w:shd w:fill="F2F2F2" w:val="clear"/>
            <w:tcMar>
              <w:top w:type="dxa" w:w="80"/>
              <w:start w:type="dxa" w:w="120"/>
              <w:bottom w:type="dxa" w:w="80"/>
              <w:end w:type="dxa" w:w="120"/>
            </w:tcMar>
          </w:tcPr>
          <w:p>
            <w:r>
              <w:rPr>
                <w:rFonts w:ascii="Arial" w:hAnsi="Arial"/>
                <w:sz w:val="20"/>
              </w:rPr>
              <w:t>InternalSubFolderID2</w:t>
            </w:r>
          </w:p>
        </w:tc>
        <w:tc>
          <w:tcPr>
            <w:tcW w:type="dxa" w:w="4560"/>
            <w:shd w:fill="F2F2F2" w:val="clear"/>
            <w:tcMar>
              <w:top w:type="dxa" w:w="80"/>
              <w:start w:type="dxa" w:w="120"/>
              <w:bottom w:type="dxa" w:w="80"/>
              <w:end w:type="dxa" w:w="120"/>
            </w:tcMar>
          </w:tcPr>
          <w:p>
            <w:r>
              <w:rPr>
                <w:rFonts w:ascii="Arial" w:hAnsi="Arial"/>
                <w:sz w:val="20"/>
              </w:rPr>
              <w:t>Non-external-only document types only (K-1, Draft K-1, Tax Return, Income Statement, Balance Sheet)</w:t>
            </w:r>
          </w:p>
        </w:tc>
      </w:tr>
      <w:tr>
        <w:tc>
          <w:tcPr>
            <w:tcW w:type="dxa" w:w="2400"/>
            <w:tcMar>
              <w:top w:type="dxa" w:w="80"/>
              <w:start w:type="dxa" w:w="120"/>
              <w:bottom w:type="dxa" w:w="80"/>
              <w:end w:type="dxa" w:w="120"/>
            </w:tcMar>
          </w:tcPr>
          <w:p>
            <w:r>
              <w:rPr>
                <w:rFonts w:ascii="Arial" w:hAnsi="Arial"/>
                <w:sz w:val="20"/>
              </w:rPr>
              <w:t>Internal standard folder</w:t>
            </w:r>
          </w:p>
        </w:tc>
        <w:tc>
          <w:tcPr>
            <w:tcW w:type="dxa" w:w="2400"/>
            <w:tcMar>
              <w:top w:type="dxa" w:w="80"/>
              <w:start w:type="dxa" w:w="120"/>
              <w:bottom w:type="dxa" w:w="80"/>
              <w:end w:type="dxa" w:w="120"/>
            </w:tcMar>
          </w:tcPr>
          <w:p>
            <w:r>
              <w:rPr>
                <w:rFonts w:ascii="Arial" w:hAnsi="Arial"/>
                <w:sz w:val="20"/>
              </w:rPr>
              <w:t>InternalSubFolderID3</w:t>
            </w:r>
          </w:p>
        </w:tc>
        <w:tc>
          <w:tcPr>
            <w:tcW w:type="dxa" w:w="4560"/>
            <w:tcMar>
              <w:top w:type="dxa" w:w="80"/>
              <w:start w:type="dxa" w:w="120"/>
              <w:bottom w:type="dxa" w:w="80"/>
              <w:end w:type="dxa" w:w="120"/>
            </w:tcMar>
          </w:tcPr>
          <w:p>
            <w:r>
              <w:rPr>
                <w:rFonts w:ascii="Arial" w:hAnsi="Arial"/>
                <w:sz w:val="20"/>
              </w:rPr>
              <w:t>Non-external-only document types only</w:t>
            </w:r>
          </w:p>
        </w:tc>
      </w:tr>
    </w:tbl>
    <w:p>
      <w:pPr>
        <w:spacing w:after="120" w:before="120"/>
      </w:pPr>
      <w:r>
        <w:rPr>
          <w:rFonts w:ascii="Arial" w:cs="Arial" w:eastAsia="Arial" w:hAnsi="Arial"/>
          <w:sz w:val="22"/>
          <w:szCs w:val="22"/>
        </w:rPr>
        <w:t xml:space="preserve">The filename is the only metadata on each file. The folder location provides document category and client identity. Together, filename + folder path constitutes the complete document identity in Box. Any downstream system or user searching Box must rely on parsing the filename string to recover document year, type, client name, and entity information.</w:t>
      </w:r>
    </w:p>
    <w:p>
      <w:pPr>
        <w:pStyle w:val="Heading2"/>
        <w:spacing w:after="120" w:before="240"/>
      </w:pPr>
      <w:r>
        <w:rPr>
          <w:rFonts w:ascii="Arial" w:cs="Arial" w:eastAsia="Arial" w:hAnsi="Arial"/>
          <w:b/>
          <w:bCs/>
          <w:color w:val="1F4E79"/>
          <w:sz w:val="26"/>
          <w:szCs w:val="26"/>
        </w:rPr>
        <w:t xml:space="preserve">14.11 — Box File Metadata and Filename Convention</w:t>
      </w:r>
    </w:p>
    <w:p>
      <w:pPr>
        <w:spacing w:after="120" w:before="0"/>
      </w:pPr>
      <w:r>
        <w:rPr>
          <w:rFonts w:ascii="Arial" w:cs="Arial" w:eastAsia="Arial" w:hAnsi="Arial"/>
          <w:color w:val="000000"/>
          <w:sz w:val="22"/>
          <w:szCs w:val="22"/>
        </w:rPr>
        <w:t xml:space="preserve">The application does not use Box’s native metadata template or classification features. No structured metadata fields are sent beyond the filename and parent folder ID. All identifiable information about the document is encoded in the filename string itself.</w:t>
      </w:r>
    </w:p>
    <w:p>
      <w:pPr>
        <w:pStyle w:val="Heading3"/>
        <w:spacing w:after="100" w:before="180"/>
      </w:pPr>
      <w:r>
        <w:rPr>
          <w:rFonts w:ascii="Arial" w:cs="Arial" w:eastAsia="Arial" w:hAnsi="Arial"/>
          <w:b/>
          <w:bCs/>
          <w:color w:val="2E75B6"/>
          <w:sz w:val="24"/>
          <w:szCs w:val="24"/>
        </w:rPr>
        <w:t xml:space="preserve">What is sent to Box per file upload</w:t>
      </w:r>
    </w:p>
    <w:p>
      <w:pPr>
        <w:spacing w:after="120" w:before="0"/>
      </w:pPr>
      <w:r>
        <w:rPr>
          <w:rFonts w:ascii="Arial" w:cs="Arial" w:eastAsia="Arial" w:hAnsi="Arial"/>
          <w:color w:val="000000"/>
          <w:sz w:val="22"/>
          <w:szCs w:val="22"/>
        </w:rPr>
        <w:t xml:space="preserve">Each upload is a multipart POST with two parts:</w:t>
      </w:r>
    </w:p>
    <w:p>
      <w:pPr>
        <w:numPr>
          <w:ilvl w:val="0"/>
          <w:numId w:val="1"/>
        </w:numPr>
        <w:spacing w:after="80"/>
      </w:pPr>
      <w:r>
        <w:rPr>
          <w:rFonts w:ascii="Arial" w:cs="Arial" w:eastAsia="Arial" w:hAnsi="Arial"/>
          <w:sz w:val="22"/>
          <w:szCs w:val="22"/>
        </w:rPr>
        <w:t xml:space="preserve">Part 1 — attributes (JSON): {"name": "&lt;filename&gt;", "parent": {"id": "&lt;folderID&gt;"}}</w:t>
      </w:r>
    </w:p>
    <w:p>
      <w:pPr>
        <w:numPr>
          <w:ilvl w:val="0"/>
          <w:numId w:val="1"/>
        </w:numPr>
        <w:spacing w:after="80"/>
      </w:pPr>
      <w:r>
        <w:rPr>
          <w:rFonts w:ascii="Arial" w:cs="Arial" w:eastAsia="Arial" w:hAnsi="Arial"/>
          <w:sz w:val="22"/>
          <w:szCs w:val="22"/>
        </w:rPr>
        <w:t xml:space="preserve">Part 2 — file binary: raw PDF content (optionally password-protected before upload), MIME type as content type</w:t>
      </w:r>
    </w:p>
    <w:p>
      <w:pPr>
        <w:numPr>
          <w:ilvl w:val="0"/>
          <w:numId w:val="1"/>
        </w:numPr>
        <w:spacing w:after="80"/>
      </w:pPr>
      <w:r>
        <w:rPr>
          <w:rFonts w:ascii="Arial" w:cs="Arial" w:eastAsia="Arial" w:hAnsi="Arial"/>
          <w:sz w:val="22"/>
          <w:szCs w:val="22"/>
        </w:rPr>
        <w:t xml:space="preserve">Authorization header: Bearer &lt;OAuth access token&gt;</w:t>
      </w:r>
    </w:p>
    <w:p>
      <w:pPr>
        <w:spacing w:after="120"/>
      </w:pPr>
    </w:p>
    <w:p>
      <w:pPr>
        <w:pStyle w:val="Heading3"/>
        <w:spacing w:after="100" w:before="180"/>
      </w:pPr>
      <w:r>
        <w:rPr>
          <w:rFonts w:ascii="Arial" w:cs="Arial" w:eastAsia="Arial" w:hAnsi="Arial"/>
          <w:b/>
          <w:bCs/>
          <w:color w:val="2E75B6"/>
          <w:sz w:val="24"/>
          <w:szCs w:val="24"/>
        </w:rPr>
        <w:t xml:space="preserve">Filename patterns (SetIFFileName data transform)</w:t>
      </w:r>
    </w:p>
    <w:p>
      <w:pPr>
        <w:spacing w:after="120" w:before="0"/>
      </w:pPr>
      <w:r>
        <w:rPr>
          <w:rFonts w:ascii="Arial" w:cs="Arial" w:eastAsia="Arial" w:hAnsi="Arial"/>
          <w:b/>
          <w:bCs/>
          <w:color w:val="000000"/>
          <w:sz w:val="22"/>
          <w:szCs w:val="22"/>
        </w:rPr>
        <w:t xml:space="preserve">For individual documents:</w:t>
      </w:r>
    </w:p>
    <w:p>
      <w:pPr>
        <w:spacing w:after="120" w:before="0"/>
        <w:ind w:left="720"/>
      </w:pPr>
      <w:r>
        <w:rPr>
          <w:rFonts w:ascii="Courier New" w:cs="Courier New" w:eastAsia="Courier New" w:hAnsi="Courier New"/>
          <w:color w:val="2B2B2B"/>
          <w:sz w:val="18"/>
          <w:szCs w:val="18"/>
        </w:rPr>
        <w:t xml:space="preserve">LastName, FirstName - {DocumentYear} {DocumentType}.pdf</w:t>
      </w:r>
    </w:p>
    <w:p>
      <w:pPr>
        <w:spacing w:after="120" w:before="0"/>
      </w:pPr>
      <w:r>
        <w:rPr>
          <w:rFonts w:ascii="Arial" w:cs="Arial" w:eastAsia="Arial" w:hAnsi="Arial"/>
          <w:b/>
          <w:bCs/>
          <w:color w:val="000000"/>
          <w:sz w:val="22"/>
          <w:szCs w:val="22"/>
        </w:rPr>
        <w:t xml:space="preserve">For entity/partnership documents:</w:t>
      </w:r>
    </w:p>
    <w:p>
      <w:pPr>
        <w:spacing w:after="120" w:before="0"/>
        <w:ind w:left="720"/>
      </w:pPr>
      <w:r>
        <w:rPr>
          <w:rFonts w:ascii="Courier New" w:cs="Courier New" w:eastAsia="Courier New" w:hAnsi="Courier New"/>
          <w:color w:val="2B2B2B"/>
          <w:sz w:val="18"/>
          <w:szCs w:val="18"/>
        </w:rPr>
        <w:t xml:space="preserve">LastName, FirstName - {OracleID} {EntityName} - {DocumentYear} {DocumentType}.pdf</w:t>
      </w:r>
    </w:p>
    <w:p>
      <w:pPr>
        <w:spacing w:after="120"/>
      </w:pPr>
    </w:p>
    <w:p>
      <w:pPr>
        <w:spacing w:after="120" w:before="0"/>
      </w:pPr>
      <w:r>
        <w:rPr>
          <w:rFonts w:ascii="Arial" w:cs="Arial" w:eastAsia="Arial" w:hAnsi="Arial"/>
          <w:b/>
          <w:bCs/>
          <w:color w:val="000000"/>
          <w:sz w:val="22"/>
          <w:szCs w:val="22"/>
        </w:rPr>
        <w:t xml:space="preserve">Examples:</w:t>
      </w:r>
    </w:p>
    <w:p>
      <w:pPr>
        <w:spacing w:after="120" w:before="0"/>
        <w:ind w:left="720"/>
      </w:pPr>
      <w:r>
        <w:rPr>
          <w:rFonts w:ascii="Courier New" w:cs="Courier New" w:eastAsia="Courier New" w:hAnsi="Courier New"/>
          <w:color w:val="2B2B2B"/>
          <w:sz w:val="18"/>
          <w:szCs w:val="18"/>
        </w:rPr>
        <w:t xml:space="preserve">Smith, John - 2024 Tax Return.pdf</w:t>
      </w:r>
    </w:p>
    <w:p>
      <w:pPr>
        <w:spacing w:after="120" w:before="0"/>
        <w:ind w:left="720"/>
      </w:pPr>
      <w:r>
        <w:rPr>
          <w:rFonts w:ascii="Courier New" w:cs="Courier New" w:eastAsia="Courier New" w:hAnsi="Courier New"/>
          <w:color w:val="2B2B2B"/>
          <w:sz w:val="18"/>
          <w:szCs w:val="18"/>
        </w:rPr>
        <w:t xml:space="preserve">Smith, John - 001 Oakwood Medical Partners LLC - 2024 K-1.pdf</w:t>
      </w:r>
    </w:p>
    <w:p>
      <w:pPr>
        <w:spacing w:after="120"/>
      </w:pPr>
    </w:p>
    <w:p>
      <w:pPr>
        <w:pStyle w:val="Heading3"/>
        <w:spacing w:after="100" w:before="180"/>
      </w:pPr>
      <w:r>
        <w:rPr>
          <w:rFonts w:ascii="Arial" w:cs="Arial" w:eastAsia="Arial" w:hAnsi="Arial"/>
          <w:b/>
          <w:bCs/>
          <w:color w:val="2E75B6"/>
          <w:sz w:val="24"/>
          <w:szCs w:val="24"/>
        </w:rPr>
        <w:t xml:space="preserve">Box folder destinations per file</w:t>
      </w:r>
    </w:p>
    <w:p>
      <w:pPr>
        <w:spacing w:after="120" w:before="0"/>
      </w:pPr>
      <w:r>
        <w:rPr>
          <w:rFonts w:ascii="Arial" w:cs="Arial" w:eastAsia="Arial" w:hAnsi="Arial"/>
          <w:color w:val="000000"/>
          <w:sz w:val="22"/>
          <w:szCs w:val="22"/>
        </w:rPr>
        <w:t xml:space="preserve">Each document is moved to up to three Box destinations depending on document type. The folder structure provides the client identity and document category context that the filename alone cannot.</w:t>
      </w:r>
    </w:p>
    <w:p>
      <w:pPr>
        <w:spacing w:after="120"/>
      </w:pPr>
    </w:p>
    <w:p>
      <w:pPr>
        <w:spacing w:after="120" w:before="0"/>
      </w:pPr>
      <w:r>
        <w:rPr>
          <w:rFonts w:ascii="Arial" w:cs="Arial" w:eastAsia="Arial" w:hAnsi="Arial"/>
          <w:color w:val="000000"/>
          <w:sz w:val="22"/>
          <w:szCs w:val="22"/>
        </w:rPr>
        <w:t xml:space="preserve">The filename is the only metadata on each file. Folder location provides document category and client identity. Any downstream system searching Box must parse the filename string to recover document year, type, client name, and entity.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4560"/>
      </w:tblGrid>
      <w:tr>
        <w:tc>
          <w:tcPr>
            <w:tcW w:type="dxa" w:w="2400"/>
            <w:shd w:fill="D6E4F0" w:val="clear"/>
            <w:tcMar>
              <w:top w:type="dxa" w:w="80"/>
              <w:start w:type="dxa" w:w="120"/>
              <w:bottom w:type="dxa" w:w="80"/>
              <w:end w:type="dxa" w:w="120"/>
            </w:tcMar>
          </w:tcPr>
          <w:p>
            <w:r>
              <w:rPr>
                <w:rFonts w:ascii="Arial" w:hAnsi="Arial"/>
                <w:b/>
                <w:bCs/>
                <w:sz w:val="22"/>
              </w:rPr>
              <w:t xml:space="preserve">Destination</w:t>
            </w:r>
          </w:p>
        </w:tc>
        <w:tc>
          <w:tcPr>
            <w:tcW w:type="dxa" w:w="2400"/>
            <w:shd w:fill="D6E4F0" w:val="clear"/>
            <w:tcMar>
              <w:top w:type="dxa" w:w="80"/>
              <w:start w:type="dxa" w:w="120"/>
              <w:bottom w:type="dxa" w:w="80"/>
              <w:end w:type="dxa" w:w="120"/>
            </w:tcMar>
          </w:tcPr>
          <w:p>
            <w:r>
              <w:rPr>
                <w:rFonts w:ascii="Arial" w:hAnsi="Arial"/>
                <w:b/>
                <w:bCs/>
                <w:sz w:val="22"/>
              </w:rPr>
              <w:t xml:space="preserve">Folder ID source</w:t>
            </w:r>
          </w:p>
        </w:tc>
        <w:tc>
          <w:tcPr>
            <w:tcW w:type="dxa" w:w="4560"/>
            <w:shd w:fill="D6E4F0" w:val="clear"/>
            <w:tcMar>
              <w:top w:type="dxa" w:w="80"/>
              <w:start w:type="dxa" w:w="120"/>
              <w:bottom w:type="dxa" w:w="80"/>
              <w:end w:type="dxa" w:w="120"/>
            </w:tcMar>
          </w:tcPr>
          <w:p>
            <w:r>
              <w:rPr>
                <w:rFonts w:ascii="Arial" w:hAnsi="Arial"/>
                <w:b/>
                <w:bCs/>
                <w:sz w:val="22"/>
              </w:rPr>
              <w:t xml:space="preserve">Applies to</w:t>
            </w:r>
          </w:p>
        </w:tc>
      </w:tr>
      <w:tr>
        <w:tc>
          <w:tcPr>
            <w:tcW w:type="dxa" w:w="2400"/>
            <w:shd w:fill="FFFFFF" w:val="clear"/>
            <w:tcMar>
              <w:top w:type="dxa" w:w="80"/>
              <w:start w:type="dxa" w:w="120"/>
              <w:bottom w:type="dxa" w:w="80"/>
              <w:end w:type="dxa" w:w="120"/>
            </w:tcMar>
          </w:tcPr>
          <w:p>
            <w:r>
              <w:rPr>
                <w:rFonts w:ascii="Arial" w:hAnsi="Arial"/>
                <w:sz w:val="20"/>
              </w:rPr>
              <w:t xml:space="preserve">External permanent folder</w:t>
            </w:r>
          </w:p>
        </w:tc>
        <w:tc>
          <w:tcPr>
            <w:tcW w:type="dxa" w:w="2400"/>
            <w:shd w:fill="FFFFFF" w:val="clear"/>
            <w:tcMar>
              <w:top w:type="dxa" w:w="80"/>
              <w:start w:type="dxa" w:w="120"/>
              <w:bottom w:type="dxa" w:w="80"/>
              <w:end w:type="dxa" w:w="120"/>
            </w:tcMar>
          </w:tcPr>
          <w:p>
            <w:r>
              <w:rPr>
                <w:rFonts w:ascii="Arial" w:hAnsi="Arial"/>
                <w:sz w:val="20"/>
              </w:rPr>
              <w:t xml:space="preserve">ExternalSubFolderID2</w:t>
            </w:r>
          </w:p>
        </w:tc>
        <w:tc>
          <w:tcPr>
            <w:tcW w:type="dxa" w:w="4560"/>
            <w:shd w:fill="FFFFFF" w:val="clear"/>
            <w:tcMar>
              <w:top w:type="dxa" w:w="80"/>
              <w:start w:type="dxa" w:w="120"/>
              <w:bottom w:type="dxa" w:w="80"/>
              <w:end w:type="dxa" w:w="120"/>
            </w:tcMar>
          </w:tcPr>
          <w:p>
            <w:r>
              <w:rPr>
                <w:rFonts w:ascii="Arial" w:hAnsi="Arial"/>
                <w:sz w:val="20"/>
              </w:rPr>
              <w:t xml:space="preserve">All document types</w:t>
            </w:r>
          </w:p>
        </w:tc>
      </w:tr>
      <w:tr>
        <w:tc>
          <w:tcPr>
            <w:tcW w:type="dxa" w:w="2400"/>
            <w:shd w:fill="F2F2F2" w:val="clear"/>
            <w:tcMar>
              <w:top w:type="dxa" w:w="80"/>
              <w:start w:type="dxa" w:w="120"/>
              <w:bottom w:type="dxa" w:w="80"/>
              <w:end w:type="dxa" w:w="120"/>
            </w:tcMar>
          </w:tcPr>
          <w:p>
            <w:r>
              <w:rPr>
                <w:rFonts w:ascii="Arial" w:hAnsi="Arial"/>
                <w:sz w:val="20"/>
              </w:rPr>
              <w:t xml:space="preserve">Internal Quick View folder</w:t>
            </w:r>
          </w:p>
        </w:tc>
        <w:tc>
          <w:tcPr>
            <w:tcW w:type="dxa" w:w="2400"/>
            <w:shd w:fill="F2F2F2" w:val="clear"/>
            <w:tcMar>
              <w:top w:type="dxa" w:w="80"/>
              <w:start w:type="dxa" w:w="120"/>
              <w:bottom w:type="dxa" w:w="80"/>
              <w:end w:type="dxa" w:w="120"/>
            </w:tcMar>
          </w:tcPr>
          <w:p>
            <w:r>
              <w:rPr>
                <w:rFonts w:ascii="Arial" w:hAnsi="Arial"/>
                <w:sz w:val="20"/>
              </w:rPr>
              <w:t xml:space="preserve">InternalSubFolderID2</w:t>
            </w:r>
          </w:p>
        </w:tc>
        <w:tc>
          <w:tcPr>
            <w:tcW w:type="dxa" w:w="4560"/>
            <w:shd w:fill="F2F2F2" w:val="clear"/>
            <w:tcMar>
              <w:top w:type="dxa" w:w="80"/>
              <w:start w:type="dxa" w:w="120"/>
              <w:bottom w:type="dxa" w:w="80"/>
              <w:end w:type="dxa" w:w="120"/>
            </w:tcMar>
          </w:tcPr>
          <w:p>
            <w:r>
              <w:rPr>
                <w:rFonts w:ascii="Arial" w:hAnsi="Arial"/>
                <w:sz w:val="20"/>
              </w:rPr>
              <w:t xml:space="preserve">Non-external-only types (K-1, Draft K-1, Tax Return, Income Statement, Balance Sheet)</w:t>
            </w:r>
          </w:p>
        </w:tc>
      </w:tr>
      <w:tr>
        <w:tc>
          <w:tcPr>
            <w:tcW w:type="dxa" w:w="2400"/>
            <w:shd w:fill="FFFFFF" w:val="clear"/>
            <w:tcMar>
              <w:top w:type="dxa" w:w="80"/>
              <w:start w:type="dxa" w:w="120"/>
              <w:bottom w:type="dxa" w:w="80"/>
              <w:end w:type="dxa" w:w="120"/>
            </w:tcMar>
          </w:tcPr>
          <w:p>
            <w:r>
              <w:rPr>
                <w:rFonts w:ascii="Arial" w:hAnsi="Arial"/>
                <w:sz w:val="20"/>
              </w:rPr>
              <w:t xml:space="preserve">Internal standard folder</w:t>
            </w:r>
          </w:p>
        </w:tc>
        <w:tc>
          <w:tcPr>
            <w:tcW w:type="dxa" w:w="2400"/>
            <w:shd w:fill="FFFFFF" w:val="clear"/>
            <w:tcMar>
              <w:top w:type="dxa" w:w="80"/>
              <w:start w:type="dxa" w:w="120"/>
              <w:bottom w:type="dxa" w:w="80"/>
              <w:end w:type="dxa" w:w="120"/>
            </w:tcMar>
          </w:tcPr>
          <w:p>
            <w:r>
              <w:rPr>
                <w:rFonts w:ascii="Arial" w:hAnsi="Arial"/>
                <w:sz w:val="20"/>
              </w:rPr>
              <w:t xml:space="preserve">InternalSubFolderID3</w:t>
            </w:r>
          </w:p>
        </w:tc>
        <w:tc>
          <w:tcPr>
            <w:tcW w:type="dxa" w:w="4560"/>
            <w:shd w:fill="FFFFFF" w:val="clear"/>
            <w:tcMar>
              <w:top w:type="dxa" w:w="80"/>
              <w:start w:type="dxa" w:w="120"/>
              <w:bottom w:type="dxa" w:w="80"/>
              <w:end w:type="dxa" w:w="120"/>
            </w:tcMar>
          </w:tcPr>
          <w:p>
            <w:r>
              <w:rPr>
                <w:rFonts w:ascii="Arial" w:hAnsi="Arial"/>
                <w:sz w:val="20"/>
              </w:rPr>
              <w:t xml:space="preserve">Non-external-only types only</w:t>
            </w:r>
          </w:p>
        </w:tc>
      </w:tr>
    </w:tbl>
    <w:p>
      <w:pPr>
        <w:pStyle w:val="Heading1"/>
        <w:spacing w:after="160" w:before="360"/>
      </w:pPr>
      <w:r>
        <w:rPr>
          <w:rFonts w:ascii="Arial" w:cs="Arial" w:eastAsia="Arial" w:hAnsi="Arial"/>
          <w:b/>
          <w:bCs/>
          <w:color w:val="1F4E79"/>
          <w:sz w:val="32"/>
          <w:szCs w:val="32"/>
        </w:rPr>
        <w:t xml:space="preserve">15. Business Rules Reference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900"/>
        <w:gridCol w:w="2760"/>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Rule</w:t>
            </w:r>
          </w:p>
        </w:tc>
        <w:tc>
          <w:tcPr>
            <w:tcW w:type="dxa" w:w="19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Trigger</w:t>
            </w:r>
          </w:p>
        </w:tc>
        <w:tc>
          <w:tcPr>
            <w:tcW w:type="dxa" w:w="19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Condition</w:t>
            </w:r>
          </w:p>
        </w:tc>
        <w:tc>
          <w:tcPr>
            <w:tcW w:type="dxa" w:w="27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BR-01</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Temp Folder Required</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New record created</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Create temp Box folder; if fails, route to exception queue</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BR-02</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Temp Folder Exception SLA</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Temp folder creation fails</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Start SLA timer; send exception email to staff</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BR-03</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 Folder Verification</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Staff submits Taxpayer Information</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Check client Box folder URL; block if not found</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BR-04</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Re-enter URL Loop</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 folder not found</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ClientFolderExist = false</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Show re-entry screen; retry until found</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BR-05</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Duplicate Document Warning</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Document added to list</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Same type + year + name already exists</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Warn staff; require confirmation to save duplicate</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BR-06</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Entity Fields Required</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Entity Type is selected</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EntityType is not empty</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Require EntityName and EntityTypeNumber</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BR-07</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Partnership K-1 Fields</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Document type is K-1 or Draft K-1</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IsEntityPartnership = true</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Show K-1 attachment list; require entity fields</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BR-08</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K-1 SCorp Fields</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Document type is K-1 SCorp</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IsDocumentType_K1SCorp = true</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Show K-1 SCorp-specific field set</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BR-09</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Form 8308 Attachments</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Document type is Form 8308</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IsDocumentType_Form8308 = true</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Show Form 8308 attachment list</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BR-10</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Password Protection</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Is Password Protected = Yes</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IsPasswordProtect = true</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Apply PDF password via Box API in Stage 2</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BR-11</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 Type → External Folder</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PDF Processing</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Route to external Box folder per routing table</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BR-12</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Doc Type → Internal Folder</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PDF Processing</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Doc type is not external-only</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Route to internal Box folder per routing table</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BR-13</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External-Only Documents</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PDF Processing</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Type in [Form 8308, S-Corp Election, S-Corp, Extensions]</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Route to external folder only; skip internal write</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BR-14</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File Move Failure</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PDF Processing</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Box API returns error</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Flag failure; send exception email; add to exception queue</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BR-15</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Temp Folder Cleanup</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Stage 3 entry</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Delete temp Box folder via API</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BR-16</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Final Confirmation Email</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Temp folder deleted</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IsTempFolderEmpty = true AND NotificationFlag = Yes</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Send final confirmation email to client</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BR-17</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Admin-Only Cancel</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Cancel/Withdrawal selected</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User is not an Administrator</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Hide action; block execution</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BR-18</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Hard Close on Cancel</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Admin submits cancellation</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Immediately close record and all sub-records; write reason to audit trail; no reopen</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BR-19</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User Data Scoping</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Dashboard query</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Standard User role</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Filter to show only records assigned to current user</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BR-20</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Admin Full Visibility</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Dashboard query</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Administrator role</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Show all records; include Assigned To column</w:t>
            </w:r>
          </w:p>
        </w:tc>
      </w:tr>
      <w:tr>
        <w:tc>
          <w:tcPr>
            <w:tcW w:type="dxa" w:w="7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BR-21</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Bulk Resolve</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User selects multiple records</w:t>
            </w:r>
          </w:p>
        </w:tc>
        <w:tc>
          <w:tcPr>
            <w:tcW w:type="dxa" w:w="19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Standard User dashboard</w:t>
            </w:r>
          </w:p>
        </w:tc>
        <w:tc>
          <w:tcPr>
            <w:tcW w:type="dxa" w:w="2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Allow batch resolve via Resolve Selected Cases action</w:t>
            </w:r>
          </w:p>
        </w:tc>
      </w:tr>
      <w:tr>
        <w:tc>
          <w:tcPr>
            <w:tcW w:type="dxa" w:w="7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BR-22</w:t>
            </w:r>
          </w:p>
        </w:tc>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Update Payer Reference</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Confirmation Screen submitted</w:t>
            </w:r>
          </w:p>
        </w:tc>
        <w:tc>
          <w:tcPr>
            <w:tcW w:type="dxa" w:w="19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ClientFolderExist = true</w:t>
            </w:r>
          </w:p>
        </w:tc>
        <w:tc>
          <w:tcPr>
            <w:tcW w:type="dxa" w:w="27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Call UpdatePayerRef_Info to update Box credentials</w:t>
            </w:r>
          </w:p>
        </w:tc>
      </w:tr>
    </w:tbl>
    <w:p>
      <w:r>
        <w:br w:type="page"/>
      </w:r>
    </w:p>
    <w:p>
      <w:pPr>
        <w:pStyle w:val="Heading1"/>
        <w:spacing w:after="160" w:before="360"/>
      </w:pPr>
      <w:r>
        <w:rPr>
          <w:rFonts w:ascii="Arial" w:cs="Arial" w:eastAsia="Arial" w:hAnsi="Arial"/>
          <w:b/>
          <w:bCs/>
          <w:color w:val="1F4E79"/>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Term</w:t>
            </w:r>
          </w:p>
        </w:tc>
        <w:tc>
          <w:tcPr>
            <w:tcW w:type="dxa" w:w="6560"/>
            <w:tcBorders>
              <w:top w:val="single" w:color="CCCCCC" w:sz="1"/>
              <w:left w:val="single" w:color="CCCCCC" w:sz="1"/>
              <w:bottom w:val="single" w:color="CCCCCC" w:sz="1"/>
              <w:right w:val="single" w:color="CCCCCC" w:sz="1"/>
            </w:tcBorders>
            <w:shd w:fill="D6E4F0" w:val="clear"/>
            <w:tcMar>
              <w:top w:type="dxa" w:w="80"/>
              <w:start w:type="dxa" w:w="120"/>
              <w:bottom w:type="dxa" w:w="80"/>
              <w:end w:type="dxa" w:w="120"/>
            </w:tcMar>
          </w:tcPr>
          <w:p>
            <w:r>
              <w:rPr>
                <w:rFonts w:ascii="Arial" w:cs="Arial" w:eastAsia="Arial" w:hAnsi="Arial"/>
                <w:b/>
                <w:bCs/>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Balance Sheet</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 financial statement showing assets, liabilities, and equity. Used in this application for loan assistance purposes.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Box</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The cloud-based file storage platform (box.com) used to store and organise all tax documents.</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Client</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An owner-doctor — a physician who is also a business owner, for whom the tax department manages tax documents.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Confirmation Screen</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The read-only summary screen presented to staff before final submission, after the client's Box folder has been verified.</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The category of tax document being routed (e.g., K-1, Tax Return, Form 8308). Determines which Box folder the document is sent to.</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Draft K-1</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 preliminary version of the Schedule K-1 before finalisation. Routed to the same folder as a final K-1.</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Entity</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 business organisation (partnership, corporation, personal corporation) owned or co-owned by the client.</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Entity Type</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The legal classification of a business entity (e.g., Partnership, S-Corp, Personal Corporation).</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Exception Queue</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 shared queue visible to all staff that holds records that have encountered a system error.</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Extensions</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Tax filing extension documents. Routed to the Tax Returns folder in Box.</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Form 8308</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An IRS form reporting the sale or exchange of a partnership interest. Routes to the K-1s folder (external only).</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Hard Close</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An irreversible case closure where all sub-records are also closed and no reopen path exists. Used for Cancel/Withdrawal.</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Income Statement</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 financial statement showing revenues and expenses. Used for loan assistance purposes.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Internal Folder</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 Box folder within the organisation's internal folder hierarchy (e.g., 4. Tax Documents, 7. Tax Returns).</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K-1 / Schedule K-1</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An IRS form reporting a partner's share of partnership income. Can be produced in large batches (3,000+).</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Notification Flag</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 Yes/No setting controlling whether the final confirmation email is sent to the client.</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Owner Doctor</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 physician who owns a stake in a medical practice or related business entity, with both personal and entity-level tax obligations.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Partnership</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 business arrangement where two or more parties share ownership. Partnership documents include K-1s and Form 1065.</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PDF Processing</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Stage 2 of the workflow — the system automatically moves uploaded documents from the temporary folder to permanent Box folders.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Permanent Folder</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The client's designated Box folder where tax documents are stored long-term.</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Personal Corporation (PC)</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 limited liability corporation run by a professional (e.g., a physician). Also called a personal service corporation.</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PDS Email</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The internal or work email address associated with a physician through the organisation's systems.</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Routing Record</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The primary record type. Represents one document routing event for one client.</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S-Corp Election</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 corporate form electing S-Corporation tax status. Requires a signature; routed to Signature Requests folder.</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Signature Requests</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 Box folder category holding documents requiring signatures (currently S-Corp Elections).</w:t>
            </w:r>
          </w:p>
        </w:tc>
      </w:tr>
      <w:tr>
        <w:tc>
          <w:tcPr>
            <w:tcW w:type="dxa" w:w="28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Staging Folder / Temp Folder</w:t>
            </w:r>
          </w:p>
        </w:tc>
        <w:tc>
          <w:tcPr>
            <w:tcW w:type="dxa" w:w="65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sz w:val="20"/>
                <w:szCs w:val="20"/>
              </w:rPr>
              <w:t xml:space="preserve">A temporary Box folder created at the start of each routing record to hold uploads during processing. Deleted at end of Stage 3.</w:t>
            </w:r>
          </w:p>
        </w:tc>
      </w:tr>
      <w:tr>
        <w:tc>
          <w:tcPr>
            <w:tcW w:type="dxa" w:w="28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Tax Return</w:t>
            </w:r>
          </w:p>
        </w:tc>
        <w:tc>
          <w:tcPr>
            <w:tcW w:type="dxa" w:w="65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20"/>
                <w:szCs w:val="20"/>
              </w:rPr>
              <w:t xml:space="preserve">A completed federal or state tax return. Includes Form 1040 (personal), Form 1065 (partnership), and Form 1120 (corporate).</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2026-05-06T15:56:06.639Z</dcterms:created>
  <dcterms:modified xsi:type="dcterms:W3CDTF">2026-05-06T15:56:06.644Z</dcterms:modified>
</cp:coreProperties>
</file>

<file path=docProps/custom.xml><?xml version="1.0" encoding="utf-8"?>
<Properties xmlns="http://schemas.openxmlformats.org/officeDocument/2006/custom-properties" xmlns:vt="http://schemas.openxmlformats.org/officeDocument/2006/docPropsVTypes"/>
</file>