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49" w:rsidRPr="00D2411D" w:rsidRDefault="00D2411D">
      <w:pPr>
        <w:pStyle w:val="Ttulo1"/>
        <w:rPr>
          <w:color w:val="auto"/>
          <w:lang w:val="es-MX"/>
        </w:rPr>
      </w:pPr>
      <w:bookmarkStart w:id="0" w:name="X71c41595ac530c451343b0997bb0b259f45aed3"/>
      <w:r w:rsidRPr="00D2411D">
        <w:rPr>
          <w:b/>
          <w:bCs/>
          <w:color w:val="auto"/>
          <w:lang w:val="es-MX"/>
        </w:rPr>
        <w:t>Sistema de Rangos Dinámicos para Optimización de Efectivo</w:t>
      </w:r>
    </w:p>
    <w:p w:rsidR="00D91749" w:rsidRPr="00D2411D" w:rsidRDefault="00D2411D">
      <w:pPr>
        <w:pStyle w:val="Ttulo3"/>
        <w:rPr>
          <w:color w:val="auto"/>
          <w:lang w:val="es-MX"/>
        </w:rPr>
      </w:pPr>
      <w:bookmarkStart w:id="1" w:name="X89ef3a9943b6e219520319922256e2cca26403d"/>
      <w:r w:rsidRPr="00D2411D">
        <w:rPr>
          <w:color w:val="auto"/>
          <w:lang w:val="es-MX"/>
        </w:rPr>
        <w:t>(Versión simplificada con 5 rangos y enfoque en evitar efectivo ocioso)</w:t>
      </w:r>
    </w:p>
    <w:p w:rsidR="00D91749" w:rsidRPr="00D2411D" w:rsidRDefault="00D91749">
      <w:pPr>
        <w:rPr>
          <w:lang w:val="es-MX"/>
        </w:rPr>
      </w:pPr>
    </w:p>
    <w:p w:rsidR="00D91749" w:rsidRPr="00D2411D" w:rsidRDefault="00D2411D">
      <w:pPr>
        <w:pStyle w:val="Ttulo3"/>
        <w:rPr>
          <w:color w:val="auto"/>
          <w:lang w:val="es-MX"/>
        </w:rPr>
      </w:pPr>
      <w:bookmarkStart w:id="2" w:name="objetivo"/>
      <w:bookmarkEnd w:id="1"/>
      <w:r w:rsidRPr="00D2411D">
        <w:rPr>
          <w:color w:val="auto"/>
          <w:lang w:val="es-MX"/>
        </w:rPr>
        <w:t>1. Objetivo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Los objetivos de este sistema son los siguientes:</w:t>
      </w:r>
    </w:p>
    <w:p w:rsidR="00D91749" w:rsidRPr="00D2411D" w:rsidRDefault="00D2411D">
      <w:pPr>
        <w:pStyle w:val="Compact"/>
        <w:numPr>
          <w:ilvl w:val="0"/>
          <w:numId w:val="2"/>
        </w:numPr>
        <w:rPr>
          <w:lang w:val="es-MX"/>
        </w:rPr>
      </w:pPr>
      <w:r w:rsidRPr="00D2411D">
        <w:rPr>
          <w:b/>
          <w:bCs/>
          <w:lang w:val="es-MX"/>
        </w:rPr>
        <w:t>Garantizar que las sucursales cuenten con el efectivo suficiente para operar</w:t>
      </w:r>
      <w:r w:rsidRPr="00D2411D">
        <w:rPr>
          <w:lang w:val="es-MX"/>
        </w:rPr>
        <w:t>, asegurando la continuidad del servicio sin interrupciones por escasez de fondos.</w:t>
      </w:r>
    </w:p>
    <w:p w:rsidR="00D91749" w:rsidRPr="00D2411D" w:rsidRDefault="00D2411D">
      <w:pPr>
        <w:pStyle w:val="Compact"/>
        <w:numPr>
          <w:ilvl w:val="0"/>
          <w:numId w:val="2"/>
        </w:numPr>
        <w:rPr>
          <w:lang w:val="es-MX"/>
        </w:rPr>
      </w:pPr>
      <w:r w:rsidRPr="00D2411D">
        <w:rPr>
          <w:b/>
          <w:bCs/>
          <w:lang w:val="es-MX"/>
        </w:rPr>
        <w:t>Evitar la acumulación excesiva de efectivo</w:t>
      </w:r>
      <w:r w:rsidRPr="00D2411D">
        <w:rPr>
          <w:lang w:val="es-MX"/>
        </w:rPr>
        <w:t xml:space="preserve"> en las cajas de las sucursales, para reducir los riesg</w:t>
      </w:r>
      <w:r w:rsidRPr="00D2411D">
        <w:rPr>
          <w:lang w:val="es-MX"/>
        </w:rPr>
        <w:t>os de robos, asaltos y faltantes.</w:t>
      </w:r>
    </w:p>
    <w:p w:rsidR="00D91749" w:rsidRPr="00D2411D" w:rsidRDefault="00D2411D">
      <w:pPr>
        <w:pStyle w:val="Compact"/>
        <w:numPr>
          <w:ilvl w:val="0"/>
          <w:numId w:val="2"/>
        </w:numPr>
        <w:rPr>
          <w:lang w:val="es-MX"/>
        </w:rPr>
      </w:pPr>
      <w:r w:rsidRPr="00D2411D">
        <w:rPr>
          <w:b/>
          <w:bCs/>
          <w:lang w:val="es-MX"/>
        </w:rPr>
        <w:t>Reducir los costos asociados al traslado de valores</w:t>
      </w:r>
      <w:r w:rsidRPr="00D2411D">
        <w:rPr>
          <w:lang w:val="es-MX"/>
        </w:rPr>
        <w:t>, optimizando la logística mediante un enfoque basado en datos.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Para lograr lo anterior, se implementa un sistema que:</w:t>
      </w:r>
    </w:p>
    <w:p w:rsidR="00D91749" w:rsidRPr="00D2411D" w:rsidRDefault="00D2411D">
      <w:pPr>
        <w:numPr>
          <w:ilvl w:val="0"/>
          <w:numId w:val="3"/>
        </w:numPr>
        <w:rPr>
          <w:lang w:val="es-MX"/>
        </w:rPr>
      </w:pPr>
      <w:r w:rsidRPr="00D2411D">
        <w:rPr>
          <w:lang w:val="es-MX"/>
        </w:rPr>
        <w:t>Utiliza 5 rangos superpuestos de límite de existenci</w:t>
      </w:r>
      <w:r w:rsidRPr="00D2411D">
        <w:rPr>
          <w:lang w:val="es-MX"/>
        </w:rPr>
        <w:t>a</w:t>
      </w:r>
    </w:p>
    <w:p w:rsidR="00D91749" w:rsidRPr="00D2411D" w:rsidRDefault="00D2411D">
      <w:pPr>
        <w:numPr>
          <w:ilvl w:val="0"/>
          <w:numId w:val="3"/>
        </w:numPr>
        <w:rPr>
          <w:lang w:val="es-MX"/>
        </w:rPr>
      </w:pPr>
      <w:r w:rsidRPr="00D2411D">
        <w:rPr>
          <w:lang w:val="es-MX"/>
        </w:rPr>
        <w:t>Aplica pronósticos precisos de flujo a 2 semanas</w:t>
      </w:r>
    </w:p>
    <w:p w:rsidR="00D91749" w:rsidRPr="00D2411D" w:rsidRDefault="00D2411D">
      <w:pPr>
        <w:numPr>
          <w:ilvl w:val="0"/>
          <w:numId w:val="3"/>
        </w:numPr>
        <w:rPr>
          <w:lang w:val="es-MX"/>
        </w:rPr>
      </w:pPr>
      <w:r w:rsidRPr="00D2411D">
        <w:rPr>
          <w:lang w:val="es-MX"/>
        </w:rPr>
        <w:t>Usa una clasificación inteligente que considera tanto el flujo neto como el patrón de entradas y salidas (Índice de Actividad) manteniendo solo el necesario para operaciones.</w:t>
      </w:r>
    </w:p>
    <w:p w:rsidR="00D91749" w:rsidRPr="00D2411D" w:rsidRDefault="00D91749">
      <w:pPr>
        <w:rPr>
          <w:lang w:val="es-MX"/>
        </w:rPr>
      </w:pPr>
    </w:p>
    <w:p w:rsidR="00D91749" w:rsidRPr="00D2411D" w:rsidRDefault="00D2411D">
      <w:pPr>
        <w:pStyle w:val="Ttulo3"/>
        <w:rPr>
          <w:color w:val="auto"/>
          <w:lang w:val="es-MX"/>
        </w:rPr>
      </w:pPr>
      <w:bookmarkStart w:id="3" w:name="alcance-y-aplicación"/>
      <w:bookmarkEnd w:id="2"/>
      <w:r w:rsidRPr="00D2411D">
        <w:rPr>
          <w:color w:val="auto"/>
          <w:lang w:val="es-MX"/>
        </w:rPr>
        <w:t>1.1. Alcance y Aplicación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Es</w:t>
      </w:r>
      <w:r w:rsidRPr="00D2411D">
        <w:rPr>
          <w:lang w:val="es-MX"/>
        </w:rPr>
        <w:t xml:space="preserve">tas políticas aplican a todas las sucursales, </w:t>
      </w:r>
      <w:r w:rsidRPr="00D2411D">
        <w:rPr>
          <w:b/>
          <w:bCs/>
          <w:lang w:val="es-MX"/>
        </w:rPr>
        <w:t>excepto aquellas ubicadas en municipios con tarifas especiales</w:t>
      </w:r>
      <w:r w:rsidRPr="00D2411D">
        <w:rPr>
          <w:lang w:val="es-MX"/>
        </w:rPr>
        <w:t xml:space="preserve"> (según el contrato de prestación de servicios bancarios integrales suscrito con Banco Nacional de México, S.A.), donde las condiciones operativas r</w:t>
      </w:r>
      <w:r w:rsidRPr="00D2411D">
        <w:rPr>
          <w:lang w:val="es-MX"/>
        </w:rPr>
        <w:t>equieren esquemas de traslado distintos.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 xml:space="preserve">Estas políticas también excluyen los casos especiales relacionados con </w:t>
      </w:r>
      <w:r w:rsidRPr="00D2411D">
        <w:rPr>
          <w:b/>
          <w:bCs/>
          <w:lang w:val="es-MX"/>
        </w:rPr>
        <w:t>entregas de programas sociales y servicios a grandes usuarios</w:t>
      </w:r>
      <w:r w:rsidRPr="00D2411D">
        <w:rPr>
          <w:lang w:val="es-MX"/>
        </w:rPr>
        <w:t>. En dichas situaciones, los recursos utilizados provienen de fondos independientes</w:t>
      </w:r>
      <w:r w:rsidRPr="00D2411D">
        <w:rPr>
          <w:lang w:val="es-MX"/>
        </w:rPr>
        <w:t xml:space="preserve"> del capital operativo, por lo que no deben ser gestionados ni evaluados bajo los lineamientos establecidos en este documento.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 xml:space="preserve"> 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>Las disposiciones aquí contenidas deberán ser implementadas por el área de Tesorería en coordinación con las áreas operativas y</w:t>
      </w:r>
      <w:r w:rsidRPr="00D2411D">
        <w:rPr>
          <w:lang w:val="es-MX"/>
        </w:rPr>
        <w:t xml:space="preserve"> de seguridad.</w:t>
      </w:r>
    </w:p>
    <w:p w:rsidR="00D91749" w:rsidRPr="00D2411D" w:rsidRDefault="00D91749">
      <w:pPr>
        <w:rPr>
          <w:lang w:val="es-MX"/>
        </w:rPr>
      </w:pPr>
    </w:p>
    <w:p w:rsidR="00D91749" w:rsidRPr="00D2411D" w:rsidRDefault="00D2411D">
      <w:pPr>
        <w:pStyle w:val="Ttulo3"/>
        <w:rPr>
          <w:color w:val="auto"/>
          <w:lang w:val="es-MX"/>
        </w:rPr>
      </w:pPr>
      <w:bookmarkStart w:id="4" w:name="X734cf2da3ae4d9a6ecfdda619d24a0ff3a0bb04"/>
      <w:bookmarkEnd w:id="3"/>
      <w:r w:rsidRPr="00D2411D">
        <w:rPr>
          <w:color w:val="auto"/>
          <w:lang w:val="es-MX"/>
        </w:rPr>
        <w:t>2. Nueva Estructura de 5 Rangos Superpuestos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 xml:space="preserve">El sistema se basa en </w:t>
      </w:r>
      <w:r w:rsidRPr="00D2411D">
        <w:rPr>
          <w:b/>
          <w:bCs/>
          <w:lang w:val="es-MX"/>
        </w:rPr>
        <w:t>cinco rangos superpuestos</w:t>
      </w:r>
      <w:r w:rsidRPr="00D2411D">
        <w:rPr>
          <w:lang w:val="es-MX"/>
        </w:rPr>
        <w:t xml:space="preserve"> que permiten establecer límites máximos y mínimos de efectivo que deben mantenerse en las sucursales, dependiendo de su tipo y nivel operativo. Es</w:t>
      </w:r>
      <w:r w:rsidRPr="00D2411D">
        <w:rPr>
          <w:lang w:val="es-MX"/>
        </w:rPr>
        <w:t>ta estructura permite una mayor flexibilidad y precisión al momento de determinar cuándo realizar dotaciones o recolecciones.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lastRenderedPageBreak/>
        <w:t>Se definen dos tablas diferentes de rangos según el tipo de sucursal. Estas están diseñadas con diferentes enfoques:</w:t>
      </w:r>
    </w:p>
    <w:p w:rsidR="00D91749" w:rsidRPr="00D2411D" w:rsidRDefault="00D2411D">
      <w:pPr>
        <w:pStyle w:val="Compact"/>
        <w:numPr>
          <w:ilvl w:val="0"/>
          <w:numId w:val="4"/>
        </w:numPr>
        <w:rPr>
          <w:lang w:val="es-MX"/>
        </w:rPr>
      </w:pPr>
      <w:r w:rsidRPr="00D2411D">
        <w:rPr>
          <w:lang w:val="es-MX"/>
        </w:rPr>
        <w:t xml:space="preserve">Para </w:t>
      </w:r>
      <w:r w:rsidRPr="00D2411D">
        <w:rPr>
          <w:b/>
          <w:bCs/>
          <w:lang w:val="es-MX"/>
        </w:rPr>
        <w:t>sucursal</w:t>
      </w:r>
      <w:r w:rsidRPr="00D2411D">
        <w:rPr>
          <w:b/>
          <w:bCs/>
          <w:lang w:val="es-MX"/>
        </w:rPr>
        <w:t>es captadoras</w:t>
      </w:r>
      <w:r w:rsidRPr="00D2411D">
        <w:rPr>
          <w:lang w:val="es-MX"/>
        </w:rPr>
        <w:t xml:space="preserve">, se prioriza mantenerlas </w:t>
      </w:r>
      <w:r w:rsidRPr="00D2411D">
        <w:rPr>
          <w:b/>
          <w:bCs/>
          <w:lang w:val="es-MX"/>
        </w:rPr>
        <w:t>cercanas al mínimo del rango</w:t>
      </w:r>
      <w:r w:rsidRPr="00D2411D">
        <w:rPr>
          <w:lang w:val="es-MX"/>
        </w:rPr>
        <w:t xml:space="preserve"> (para evitar efectivo ocioso y facilitar su recolección o redistribución).</w:t>
      </w:r>
    </w:p>
    <w:p w:rsidR="00D91749" w:rsidRPr="00D2411D" w:rsidRDefault="00D2411D">
      <w:pPr>
        <w:pStyle w:val="Compact"/>
        <w:numPr>
          <w:ilvl w:val="0"/>
          <w:numId w:val="4"/>
        </w:numPr>
        <w:rPr>
          <w:lang w:val="es-MX"/>
        </w:rPr>
      </w:pPr>
      <w:r w:rsidRPr="00D2411D">
        <w:rPr>
          <w:lang w:val="es-MX"/>
        </w:rPr>
        <w:t xml:space="preserve">Para </w:t>
      </w:r>
      <w:r w:rsidRPr="00D2411D">
        <w:rPr>
          <w:b/>
          <w:bCs/>
          <w:lang w:val="es-MX"/>
        </w:rPr>
        <w:t>sucursales pagadoras</w:t>
      </w:r>
      <w:r w:rsidRPr="00D2411D">
        <w:rPr>
          <w:lang w:val="es-MX"/>
        </w:rPr>
        <w:t xml:space="preserve">, se prioriza mantenerlas </w:t>
      </w:r>
      <w:r w:rsidRPr="00D2411D">
        <w:rPr>
          <w:b/>
          <w:bCs/>
          <w:lang w:val="es-MX"/>
        </w:rPr>
        <w:t>cercanas al máximo del rango</w:t>
      </w:r>
      <w:r w:rsidRPr="00D2411D">
        <w:rPr>
          <w:lang w:val="es-MX"/>
        </w:rPr>
        <w:t xml:space="preserve"> (para garantizar disponibilidad o</w:t>
      </w:r>
      <w:r w:rsidRPr="00D2411D">
        <w:rPr>
          <w:lang w:val="es-MX"/>
        </w:rPr>
        <w:t>perativa y evitar interrupciones por escasez).</w:t>
      </w:r>
    </w:p>
    <w:p w:rsidR="00D91749" w:rsidRPr="00D2411D" w:rsidRDefault="00D2411D" w:rsidP="00D2411D">
      <w:pPr>
        <w:pStyle w:val="Ttulo4"/>
        <w:ind w:firstLine="720"/>
        <w:rPr>
          <w:color w:val="auto"/>
          <w:lang w:val="es-MX"/>
        </w:rPr>
      </w:pPr>
      <w:bookmarkStart w:id="5" w:name="a-sucursales-captadoras"/>
      <w:r w:rsidRPr="00D2411D">
        <w:rPr>
          <w:color w:val="auto"/>
          <w:lang w:val="es-MX"/>
        </w:rPr>
        <w:t>a) Sucursales Captadoras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924"/>
        <w:gridCol w:w="1003"/>
        <w:gridCol w:w="1084"/>
        <w:gridCol w:w="3952"/>
      </w:tblGrid>
      <w:tr w:rsidR="00D2411D" w:rsidRPr="00D2411D" w:rsidTr="00D2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Rango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Mínimo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Máximo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Tipo de Sucursal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10,000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35,000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Captadoras con flujo muy bajo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15,000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50,000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Captadoras con flujo bajo a medio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25,000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80,000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Captadoras con flujo medio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40,000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140,000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Captadoras con flujo alto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60,000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300,000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Captadoras estratégicas o volátiles</w:t>
            </w:r>
          </w:p>
        </w:tc>
      </w:tr>
    </w:tbl>
    <w:p w:rsidR="00D91749" w:rsidRPr="00D2411D" w:rsidRDefault="00D2411D" w:rsidP="00D2411D">
      <w:pPr>
        <w:pStyle w:val="Ttulo4"/>
        <w:ind w:firstLine="720"/>
        <w:rPr>
          <w:color w:val="auto"/>
          <w:lang w:val="es-MX"/>
        </w:rPr>
      </w:pPr>
      <w:bookmarkStart w:id="6" w:name="b-sucursales-pagadoras"/>
      <w:bookmarkEnd w:id="5"/>
      <w:r w:rsidRPr="00D2411D">
        <w:rPr>
          <w:color w:val="auto"/>
          <w:lang w:val="es-MX"/>
        </w:rPr>
        <w:t>b) Sucursales Pagadoras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924"/>
        <w:gridCol w:w="1084"/>
        <w:gridCol w:w="1084"/>
        <w:gridCol w:w="3872"/>
      </w:tblGrid>
      <w:tr w:rsidR="00D2411D" w:rsidRPr="00D2411D" w:rsidTr="00D2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Rango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Mínimo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Máximo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Tipo de Sucursal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15,000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40,000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Pagadoras con flujo muy bajo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30,000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80,000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Pagadoras con flujo bajo a medio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60,000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160,000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Pagadoras con flujo medio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120,000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300,000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Pagadoras con flujo alto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240,000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600,000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Pagadoras estratégicas o volátiles</w:t>
            </w:r>
          </w:p>
        </w:tc>
      </w:tr>
    </w:tbl>
    <w:p w:rsidR="00D91749" w:rsidRPr="00D2411D" w:rsidRDefault="00D2411D">
      <w:pPr>
        <w:pStyle w:val="Ttulo3"/>
        <w:rPr>
          <w:color w:val="auto"/>
          <w:lang w:val="es-MX"/>
        </w:rPr>
      </w:pPr>
      <w:bookmarkStart w:id="7" w:name="X34f422fb3a8aa6b27ff2dbd5452c0b402eb0090"/>
      <w:bookmarkEnd w:id="4"/>
      <w:bookmarkEnd w:id="6"/>
      <w:r w:rsidRPr="00D2411D">
        <w:rPr>
          <w:color w:val="auto"/>
          <w:lang w:val="es-MX"/>
        </w:rPr>
        <w:t>3. Clasificación de Rangos (Basada en Montos y Actividad)</w:t>
      </w:r>
    </w:p>
    <w:p w:rsidR="00D91749" w:rsidRPr="00D2411D" w:rsidRDefault="00D2411D">
      <w:pPr>
        <w:pStyle w:val="Ttulo4"/>
        <w:rPr>
          <w:color w:val="auto"/>
          <w:lang w:val="es-MX"/>
        </w:rPr>
      </w:pPr>
      <w:bookmarkStart w:id="8" w:name="fundamento-y-periodicidad-del-análisis"/>
      <w:r w:rsidRPr="00D2411D">
        <w:rPr>
          <w:color w:val="auto"/>
          <w:lang w:val="es-MX"/>
        </w:rPr>
        <w:t>Fundamento y Periodicidad del Análisis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El análisis para la</w:t>
      </w:r>
      <w:r w:rsidRPr="00D2411D">
        <w:rPr>
          <w:lang w:val="es-MX"/>
        </w:rPr>
        <w:t xml:space="preserve"> clasificación de las sucursales se realiza </w:t>
      </w:r>
      <w:r w:rsidRPr="00D2411D">
        <w:rPr>
          <w:b/>
          <w:bCs/>
          <w:lang w:val="es-MX"/>
        </w:rPr>
        <w:t>cada trimestre</w:t>
      </w:r>
      <w:r w:rsidRPr="00D2411D">
        <w:rPr>
          <w:lang w:val="es-MX"/>
        </w:rPr>
        <w:t xml:space="preserve">, considerando únicamente los datos observados en dicho período. Esta periodicidad permite capturar cambios en el comportamiento operativo de las sucursales a lo largo del año y ajustar los límites </w:t>
      </w:r>
      <w:r w:rsidRPr="00D2411D">
        <w:rPr>
          <w:lang w:val="es-MX"/>
        </w:rPr>
        <w:t>de efectivo de forma oportuna.</w:t>
      </w:r>
    </w:p>
    <w:p w:rsidR="00D91749" w:rsidRPr="00D2411D" w:rsidRDefault="00D2411D">
      <w:pPr>
        <w:pStyle w:val="Ttulo4"/>
        <w:rPr>
          <w:color w:val="auto"/>
          <w:lang w:val="es-MX"/>
        </w:rPr>
      </w:pPr>
      <w:bookmarkStart w:id="9" w:name="variables-consideradas"/>
      <w:bookmarkEnd w:id="8"/>
      <w:r w:rsidRPr="00D2411D">
        <w:rPr>
          <w:color w:val="auto"/>
          <w:lang w:val="es-MX"/>
        </w:rPr>
        <w:t>Variables Consideradas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Para cada sucursal, se calculan las siguientes métricas a partir de los registros del trimestre más reciente. A continuación, se resumen las variables utilizadas para la clasificación en formato tabular: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69"/>
        <w:gridCol w:w="1298"/>
        <w:gridCol w:w="6655"/>
      </w:tblGrid>
      <w:tr w:rsidR="00D2411D" w:rsidRPr="00D2411D" w:rsidTr="00D2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69" w:type="dxa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Descripción de la Variable</w:t>
            </w:r>
          </w:p>
        </w:tc>
        <w:tc>
          <w:tcPr>
            <w:tcW w:w="1298" w:type="dxa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Símbolo</w:t>
            </w:r>
          </w:p>
        </w:tc>
        <w:tc>
          <w:tcPr>
            <w:tcW w:w="6655" w:type="dxa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Ecuación</w:t>
            </w:r>
          </w:p>
        </w:tc>
      </w:tr>
      <w:tr w:rsidR="00D2411D" w:rsidRPr="00D2411D" w:rsidTr="00D2411D">
        <w:tc>
          <w:tcPr>
            <w:tcW w:w="3369" w:type="dxa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Entrada</w:t>
            </w:r>
            <w:r w:rsidRPr="00D2411D">
              <w:rPr>
                <w:lang w:val="es-MX"/>
              </w:rPr>
              <w:t>s promedio del trimestre</w:t>
            </w:r>
          </w:p>
        </w:tc>
        <w:tc>
          <w:tcPr>
            <w:tcW w:w="1298" w:type="dxa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lang w:val="es-MX"/>
              </w:rPr>
              <w:t>E</w:t>
            </w:r>
          </w:p>
        </w:tc>
        <w:tc>
          <w:tcPr>
            <w:tcW w:w="6655" w:type="dxa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Suma de entradas del trimestre ÷ número de días del trimestre</w:t>
            </w:r>
          </w:p>
        </w:tc>
      </w:tr>
      <w:tr w:rsidR="00D2411D" w:rsidRPr="00D2411D" w:rsidTr="00D2411D">
        <w:tc>
          <w:tcPr>
            <w:tcW w:w="3369" w:type="dxa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Salidas promedio del trimestre</w:t>
            </w:r>
          </w:p>
        </w:tc>
        <w:tc>
          <w:tcPr>
            <w:tcW w:w="1298" w:type="dxa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lang w:val="es-MX"/>
              </w:rPr>
              <w:t>S</w:t>
            </w:r>
          </w:p>
        </w:tc>
        <w:tc>
          <w:tcPr>
            <w:tcW w:w="6655" w:type="dxa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Suma de salidas del trimestre ÷ número de días del trimestre</w:t>
            </w:r>
          </w:p>
        </w:tc>
      </w:tr>
      <w:tr w:rsidR="00D2411D" w:rsidRPr="00D2411D" w:rsidTr="00D2411D">
        <w:tc>
          <w:tcPr>
            <w:tcW w:w="3369" w:type="dxa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Flujo de efectivo promedio del trimestre</w:t>
            </w:r>
          </w:p>
        </w:tc>
        <w:tc>
          <w:tcPr>
            <w:tcW w:w="1298" w:type="dxa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lang w:val="es-MX"/>
              </w:rPr>
              <w:t>F</w:t>
            </w:r>
          </w:p>
        </w:tc>
        <w:tc>
          <w:tcPr>
            <w:tcW w:w="6655" w:type="dxa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Entradas promedio – Salidas promedio</w:t>
            </w:r>
          </w:p>
        </w:tc>
      </w:tr>
      <w:tr w:rsidR="00D2411D" w:rsidRPr="00D2411D" w:rsidTr="00D2411D">
        <w:tc>
          <w:tcPr>
            <w:tcW w:w="3369" w:type="dxa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Índice de Actividad</w:t>
            </w:r>
          </w:p>
        </w:tc>
        <w:tc>
          <w:tcPr>
            <w:tcW w:w="1298" w:type="dxa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lang w:val="es-MX"/>
              </w:rPr>
              <w:t>IA</w:t>
            </w:r>
          </w:p>
        </w:tc>
        <w:tc>
          <w:tcPr>
            <w:tcW w:w="6655" w:type="dxa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(Entradas promedio + Salidas promedio) ÷ Flujo de efectivo promedio</w:t>
            </w:r>
          </w:p>
        </w:tc>
      </w:tr>
      <w:tr w:rsidR="00D2411D" w:rsidRPr="00D2411D" w:rsidTr="00D2411D">
        <w:tc>
          <w:tcPr>
            <w:tcW w:w="3369" w:type="dxa"/>
            <w:tcBorders>
              <w:righ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Tamaño del Flujo</w:t>
            </w:r>
          </w:p>
        </w:tc>
        <w:tc>
          <w:tcPr>
            <w:tcW w:w="1298" w:type="dxa"/>
            <w:tcBorders>
              <w:left w:val="single" w:sz="4" w:space="0" w:color="auto"/>
              <w:right w:val="single" w:sz="4" w:space="0" w:color="auto"/>
            </w:tcBorders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lang w:val="es-MX"/>
              </w:rPr>
              <w:t>TF</w:t>
            </w:r>
          </w:p>
        </w:tc>
        <w:tc>
          <w:tcPr>
            <w:tcW w:w="6655" w:type="dxa"/>
            <w:tcBorders>
              <w:left w:val="single" w:sz="4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Entradas promedio + Salidas promedio</w:t>
            </w:r>
          </w:p>
        </w:tc>
      </w:tr>
    </w:tbl>
    <w:p w:rsidR="00D91749" w:rsidRPr="00D2411D" w:rsidRDefault="00D2411D">
      <w:pPr>
        <w:pStyle w:val="Ttulo4"/>
        <w:rPr>
          <w:color w:val="auto"/>
          <w:lang w:val="es-MX"/>
        </w:rPr>
      </w:pPr>
      <w:bookmarkStart w:id="10" w:name="reglas-de-clasificación-por-rango"/>
      <w:bookmarkEnd w:id="9"/>
      <w:r w:rsidRPr="00D2411D">
        <w:rPr>
          <w:color w:val="auto"/>
          <w:lang w:val="es-MX"/>
        </w:rPr>
        <w:lastRenderedPageBreak/>
        <w:t>Reglas de Clasificación por Rango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 xml:space="preserve">Estas reglas aplican tanto para sucursales </w:t>
      </w:r>
      <w:r w:rsidRPr="00D2411D">
        <w:rPr>
          <w:b/>
          <w:bCs/>
          <w:lang w:val="es-MX"/>
        </w:rPr>
        <w:t>captadoras</w:t>
      </w:r>
      <w:r w:rsidRPr="00D2411D">
        <w:rPr>
          <w:lang w:val="es-MX"/>
        </w:rPr>
        <w:t xml:space="preserve"> como </w:t>
      </w:r>
      <w:r w:rsidRPr="00D2411D">
        <w:rPr>
          <w:b/>
          <w:bCs/>
          <w:lang w:val="es-MX"/>
        </w:rPr>
        <w:t>pagadoras</w:t>
      </w:r>
      <w:r w:rsidRPr="00D2411D">
        <w:rPr>
          <w:lang w:val="es-MX"/>
        </w:rPr>
        <w:t>, permitiendo una clasificación unificada según los criterios técnicos establecidos.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 xml:space="preserve">La variable principal para determinar el rango es el </w:t>
      </w:r>
      <w:r w:rsidRPr="00D2411D">
        <w:rPr>
          <w:b/>
          <w:bCs/>
          <w:lang w:val="es-MX"/>
        </w:rPr>
        <w:t>tamaño del flujo</w:t>
      </w:r>
      <w:r w:rsidRPr="00D2411D">
        <w:rPr>
          <w:lang w:val="es-MX"/>
        </w:rPr>
        <w:t>. Se asigna un rango a cada sucurs</w:t>
      </w:r>
      <w:r w:rsidRPr="00D2411D">
        <w:rPr>
          <w:lang w:val="es-MX"/>
        </w:rPr>
        <w:t>al en función del volumen total de entradas y salidas promedio diarias, conforme a los siguientes intervalos:</w:t>
      </w:r>
    </w:p>
    <w:p w:rsidR="00D91749" w:rsidRPr="00D2411D" w:rsidRDefault="00D2411D">
      <w:pPr>
        <w:pStyle w:val="Compact"/>
        <w:numPr>
          <w:ilvl w:val="0"/>
          <w:numId w:val="5"/>
        </w:numPr>
        <w:rPr>
          <w:lang w:val="es-MX"/>
        </w:rPr>
      </w:pPr>
      <w:r w:rsidRPr="00D2411D">
        <w:rPr>
          <w:lang w:val="es-MX"/>
        </w:rPr>
        <w:t>Rango A: &lt; 35,000</w:t>
      </w:r>
    </w:p>
    <w:p w:rsidR="00D91749" w:rsidRPr="00D2411D" w:rsidRDefault="00D2411D">
      <w:pPr>
        <w:pStyle w:val="Compact"/>
        <w:numPr>
          <w:ilvl w:val="0"/>
          <w:numId w:val="5"/>
        </w:numPr>
        <w:rPr>
          <w:lang w:val="es-MX"/>
        </w:rPr>
      </w:pPr>
      <w:r w:rsidRPr="00D2411D">
        <w:rPr>
          <w:lang w:val="es-MX"/>
        </w:rPr>
        <w:t>Rango B: 25,000 a &lt; 75,000</w:t>
      </w:r>
    </w:p>
    <w:p w:rsidR="00D91749" w:rsidRPr="00D2411D" w:rsidRDefault="00D2411D">
      <w:pPr>
        <w:pStyle w:val="Compact"/>
        <w:numPr>
          <w:ilvl w:val="0"/>
          <w:numId w:val="5"/>
        </w:numPr>
        <w:rPr>
          <w:lang w:val="es-MX"/>
        </w:rPr>
      </w:pPr>
      <w:r w:rsidRPr="00D2411D">
        <w:rPr>
          <w:lang w:val="es-MX"/>
        </w:rPr>
        <w:t>Rango C: 50,000 a &lt; 150,000</w:t>
      </w:r>
    </w:p>
    <w:p w:rsidR="00D91749" w:rsidRPr="00D2411D" w:rsidRDefault="00D2411D">
      <w:pPr>
        <w:pStyle w:val="Compact"/>
        <w:numPr>
          <w:ilvl w:val="0"/>
          <w:numId w:val="5"/>
        </w:numPr>
        <w:rPr>
          <w:lang w:val="es-MX"/>
        </w:rPr>
      </w:pPr>
      <w:r w:rsidRPr="00D2411D">
        <w:rPr>
          <w:lang w:val="es-MX"/>
        </w:rPr>
        <w:t>Rango D: 100,000 a &lt; 300,000</w:t>
      </w:r>
    </w:p>
    <w:p w:rsidR="00D91749" w:rsidRPr="00D2411D" w:rsidRDefault="00D2411D">
      <w:pPr>
        <w:pStyle w:val="Compact"/>
        <w:numPr>
          <w:ilvl w:val="0"/>
          <w:numId w:val="5"/>
        </w:numPr>
        <w:rPr>
          <w:lang w:val="es-MX"/>
        </w:rPr>
      </w:pPr>
      <w:r w:rsidRPr="00D2411D">
        <w:rPr>
          <w:lang w:val="es-MX"/>
        </w:rPr>
        <w:t>Rango E: ≥ 250,000</w:t>
      </w:r>
    </w:p>
    <w:p w:rsidR="00D91749" w:rsidRPr="00D2411D" w:rsidRDefault="00D2411D">
      <w:pPr>
        <w:pStyle w:val="Ttulo4"/>
        <w:rPr>
          <w:color w:val="auto"/>
          <w:lang w:val="es-MX"/>
        </w:rPr>
      </w:pPr>
      <w:bookmarkStart w:id="11" w:name="Xc3e2f36e08bf4beaa258eebf46e67d569fadfd7"/>
      <w:bookmarkEnd w:id="10"/>
      <w:r w:rsidRPr="00D2411D">
        <w:rPr>
          <w:color w:val="auto"/>
          <w:lang w:val="es-MX"/>
        </w:rPr>
        <w:t>Lógica de Asignación cuan</w:t>
      </w:r>
      <w:r w:rsidRPr="00D2411D">
        <w:rPr>
          <w:color w:val="auto"/>
          <w:lang w:val="es-MX"/>
        </w:rPr>
        <w:t>do hay Solapamientos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Dado que los límites entre rangos se solapan, se aplica una lógica de prioridad para la clasificación:</w:t>
      </w:r>
    </w:p>
    <w:p w:rsidR="00D91749" w:rsidRPr="00D2411D" w:rsidRDefault="00D2411D">
      <w:pPr>
        <w:pStyle w:val="Compact"/>
        <w:numPr>
          <w:ilvl w:val="0"/>
          <w:numId w:val="6"/>
        </w:numPr>
        <w:rPr>
          <w:lang w:val="es-MX"/>
        </w:rPr>
      </w:pPr>
      <w:r w:rsidRPr="00D2411D">
        <w:rPr>
          <w:lang w:val="es-MX"/>
        </w:rPr>
        <w:t xml:space="preserve">Cuando el </w:t>
      </w:r>
      <w:r w:rsidRPr="00D2411D">
        <w:rPr>
          <w:b/>
          <w:bCs/>
          <w:lang w:val="es-MX"/>
        </w:rPr>
        <w:t>tamaño de flujo</w:t>
      </w:r>
      <w:r w:rsidRPr="00D2411D">
        <w:rPr>
          <w:lang w:val="es-MX"/>
        </w:rPr>
        <w:t xml:space="preserve"> cae dentro de dos rangos posibles, se evalúa el </w:t>
      </w:r>
      <w:r w:rsidRPr="00D2411D">
        <w:rPr>
          <w:b/>
          <w:bCs/>
          <w:lang w:val="es-MX"/>
        </w:rPr>
        <w:t>índice de actividad</w:t>
      </w:r>
      <w:r w:rsidRPr="00D2411D">
        <w:rPr>
          <w:lang w:val="es-MX"/>
        </w:rPr>
        <w:t xml:space="preserve"> como criterio de desempate.</w:t>
      </w:r>
    </w:p>
    <w:p w:rsidR="00D91749" w:rsidRPr="00D2411D" w:rsidRDefault="00D2411D">
      <w:pPr>
        <w:pStyle w:val="Compact"/>
        <w:numPr>
          <w:ilvl w:val="0"/>
          <w:numId w:val="6"/>
        </w:numPr>
        <w:rPr>
          <w:lang w:val="es-MX"/>
        </w:rPr>
      </w:pPr>
      <w:r w:rsidRPr="00D2411D">
        <w:rPr>
          <w:lang w:val="es-MX"/>
        </w:rPr>
        <w:t>Si el índi</w:t>
      </w:r>
      <w:r w:rsidRPr="00D2411D">
        <w:rPr>
          <w:lang w:val="es-MX"/>
        </w:rPr>
        <w:t xml:space="preserve">ce de actividad supera el umbral operativo de 5, se asigna al </w:t>
      </w:r>
      <w:r w:rsidRPr="00D2411D">
        <w:rPr>
          <w:b/>
          <w:bCs/>
          <w:lang w:val="es-MX"/>
        </w:rPr>
        <w:t>rango superior</w:t>
      </w:r>
      <w:r w:rsidRPr="00D2411D">
        <w:rPr>
          <w:lang w:val="es-MX"/>
        </w:rPr>
        <w:t xml:space="preserve">. En caso contrario, se asigna al </w:t>
      </w:r>
      <w:r w:rsidRPr="00D2411D">
        <w:rPr>
          <w:b/>
          <w:bCs/>
          <w:lang w:val="es-MX"/>
        </w:rPr>
        <w:t>rango inferior</w:t>
      </w:r>
      <w:r w:rsidRPr="00D2411D">
        <w:rPr>
          <w:lang w:val="es-MX"/>
        </w:rPr>
        <w:t>.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Este enfoque permite capturar la intensidad del movimiento de efectivo además del volumen total, ajustando mejor el nivel de efect</w:t>
      </w:r>
      <w:r w:rsidRPr="00D2411D">
        <w:rPr>
          <w:lang w:val="es-MX"/>
        </w:rPr>
        <w:t>ivo requerido para cada sucursal.</w:t>
      </w:r>
    </w:p>
    <w:p w:rsidR="00D91749" w:rsidRPr="00D2411D" w:rsidRDefault="00D2411D">
      <w:pPr>
        <w:pStyle w:val="Ttulo4"/>
        <w:rPr>
          <w:color w:val="auto"/>
          <w:lang w:val="es-MX"/>
        </w:rPr>
      </w:pPr>
      <w:bookmarkStart w:id="12" w:name="ejemplo-comparativo"/>
      <w:bookmarkEnd w:id="11"/>
      <w:r w:rsidRPr="00D2411D">
        <w:rPr>
          <w:color w:val="auto"/>
          <w:lang w:val="es-MX"/>
        </w:rPr>
        <w:t>Ejemplo Comparativo:</w:t>
      </w:r>
    </w:p>
    <w:p w:rsidR="00D91749" w:rsidRPr="00D2411D" w:rsidRDefault="00D2411D">
      <w:pPr>
        <w:numPr>
          <w:ilvl w:val="0"/>
          <w:numId w:val="7"/>
        </w:numPr>
        <w:rPr>
          <w:lang w:val="es-MX"/>
        </w:rPr>
      </w:pPr>
      <w:r w:rsidRPr="00D2411D">
        <w:rPr>
          <w:b/>
          <w:bCs/>
          <w:lang w:val="es-MX"/>
        </w:rPr>
        <w:t>Sucursal X:</w:t>
      </w:r>
      <w:r w:rsidRPr="00D2411D">
        <w:rPr>
          <w:lang w:val="es-MX"/>
        </w:rPr>
        <w:t xml:space="preserve"> Entradas = 1,000,000 / Salidas = 950,000 → Flujo = +50,000</w:t>
      </w:r>
    </w:p>
    <w:p w:rsidR="00D91749" w:rsidRPr="00D2411D" w:rsidRDefault="00D2411D">
      <w:pPr>
        <w:pStyle w:val="Compact"/>
        <w:numPr>
          <w:ilvl w:val="1"/>
          <w:numId w:val="8"/>
        </w:numPr>
        <w:rPr>
          <w:lang w:val="es-MX"/>
        </w:rPr>
      </w:pPr>
      <w:r w:rsidRPr="00D2411D">
        <w:rPr>
          <w:lang w:val="es-MX"/>
        </w:rPr>
        <w:t xml:space="preserve">Índice = (1,000,000 + 950,000) / 50,000 = </w:t>
      </w:r>
      <w:r w:rsidRPr="00D2411D">
        <w:rPr>
          <w:b/>
          <w:bCs/>
          <w:lang w:val="es-MX"/>
        </w:rPr>
        <w:t>39</w:t>
      </w:r>
      <w:r w:rsidRPr="00D2411D">
        <w:rPr>
          <w:lang w:val="es-MX"/>
        </w:rPr>
        <w:t xml:space="preserve"> → Se asigna al rango superior</w:t>
      </w:r>
    </w:p>
    <w:p w:rsidR="00D91749" w:rsidRPr="00D2411D" w:rsidRDefault="00D2411D">
      <w:pPr>
        <w:numPr>
          <w:ilvl w:val="0"/>
          <w:numId w:val="7"/>
        </w:numPr>
        <w:rPr>
          <w:lang w:val="es-MX"/>
        </w:rPr>
      </w:pPr>
      <w:r w:rsidRPr="00D2411D">
        <w:rPr>
          <w:b/>
          <w:bCs/>
          <w:lang w:val="es-MX"/>
        </w:rPr>
        <w:t>Sucursal Y:</w:t>
      </w:r>
      <w:r w:rsidRPr="00D2411D">
        <w:rPr>
          <w:lang w:val="es-MX"/>
        </w:rPr>
        <w:t xml:space="preserve"> </w:t>
      </w:r>
      <w:r w:rsidRPr="00D2411D">
        <w:rPr>
          <w:lang w:val="es-MX"/>
        </w:rPr>
        <w:t>Entradas = 60,000 / Salidas = 10,000 → Flujo = +50,000</w:t>
      </w:r>
    </w:p>
    <w:p w:rsidR="00D91749" w:rsidRPr="00D2411D" w:rsidRDefault="00D2411D">
      <w:pPr>
        <w:pStyle w:val="Compact"/>
        <w:numPr>
          <w:ilvl w:val="1"/>
          <w:numId w:val="9"/>
        </w:numPr>
        <w:rPr>
          <w:lang w:val="es-MX"/>
        </w:rPr>
      </w:pPr>
      <w:r w:rsidRPr="00D2411D">
        <w:rPr>
          <w:lang w:val="es-MX"/>
        </w:rPr>
        <w:t xml:space="preserve">Índice = (60,000 + 10,000) / 50,000 = </w:t>
      </w:r>
      <w:r w:rsidRPr="00D2411D">
        <w:rPr>
          <w:b/>
          <w:bCs/>
          <w:lang w:val="es-MX"/>
        </w:rPr>
        <w:t>1.4</w:t>
      </w:r>
      <w:r w:rsidRPr="00D2411D">
        <w:rPr>
          <w:lang w:val="es-MX"/>
        </w:rPr>
        <w:t xml:space="preserve"> → Se mantiene en rango inferior</w:t>
      </w:r>
    </w:p>
    <w:p w:rsidR="00D91749" w:rsidRPr="00D2411D" w:rsidRDefault="00D91749">
      <w:pPr>
        <w:rPr>
          <w:lang w:val="es-MX"/>
        </w:rPr>
      </w:pPr>
    </w:p>
    <w:p w:rsidR="00D91749" w:rsidRPr="00D2411D" w:rsidRDefault="00D2411D">
      <w:pPr>
        <w:pStyle w:val="Ttulo3"/>
        <w:rPr>
          <w:color w:val="auto"/>
          <w:lang w:val="es-MX"/>
        </w:rPr>
      </w:pPr>
      <w:bookmarkStart w:id="13" w:name="X16687ed20af0b6ca9c1094a6318ecfe9a2bb654"/>
      <w:bookmarkEnd w:id="7"/>
      <w:bookmarkEnd w:id="12"/>
      <w:r w:rsidRPr="00D2411D">
        <w:rPr>
          <w:color w:val="auto"/>
          <w:lang w:val="es-MX"/>
        </w:rPr>
        <w:t>4. Políticas de Traslado (Basadas en Pronóstico a 2 Semanas)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 xml:space="preserve">Una vez establecidos los </w:t>
      </w:r>
      <w:r w:rsidRPr="00D2411D">
        <w:rPr>
          <w:b/>
          <w:bCs/>
          <w:lang w:val="es-MX"/>
        </w:rPr>
        <w:t>rangos de límite de existencia</w:t>
      </w:r>
      <w:r w:rsidRPr="00D2411D">
        <w:rPr>
          <w:lang w:val="es-MX"/>
        </w:rPr>
        <w:t xml:space="preserve"> (con bas</w:t>
      </w:r>
      <w:r w:rsidRPr="00D2411D">
        <w:rPr>
          <w:lang w:val="es-MX"/>
        </w:rPr>
        <w:t>e en el tamaño del flujo y el índice de actividad), cada sucursal es clasificada dentro de un rango específico.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 xml:space="preserve">Posteriormente, se aplican </w:t>
      </w:r>
      <w:r w:rsidRPr="00D2411D">
        <w:rPr>
          <w:b/>
          <w:bCs/>
          <w:lang w:val="es-MX"/>
        </w:rPr>
        <w:t>pronósticos de flujo de efectivo a dos semanas</w:t>
      </w:r>
      <w:r w:rsidRPr="00D2411D">
        <w:rPr>
          <w:lang w:val="es-MX"/>
        </w:rPr>
        <w:t xml:space="preserve"> para cada sucursal. Si el flujo pronosticado indica que una sucursal s</w:t>
      </w:r>
      <w:r w:rsidRPr="00D2411D">
        <w:rPr>
          <w:lang w:val="es-MX"/>
        </w:rPr>
        <w:t>aldrá de su rango asignado (por encima del máximo o por debajo del mínimo), deberá gestionarse un traslado de valores.</w:t>
      </w:r>
    </w:p>
    <w:p w:rsidR="00D91749" w:rsidRPr="00D2411D" w:rsidRDefault="00D2411D">
      <w:pPr>
        <w:pStyle w:val="Ttulo4"/>
        <w:rPr>
          <w:color w:val="auto"/>
          <w:lang w:val="es-MX"/>
        </w:rPr>
      </w:pPr>
      <w:bookmarkStart w:id="14" w:name="Xdb9b503cb52413c8da6d3822b94e356869300af"/>
      <w:r w:rsidRPr="00D2411D">
        <w:rPr>
          <w:color w:val="auto"/>
          <w:lang w:val="es-MX"/>
        </w:rPr>
        <w:t>4.1 Regla Primordial para el Traslado de Valores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 xml:space="preserve">Se solicitará el traslado </w:t>
      </w:r>
      <w:r w:rsidRPr="00D2411D">
        <w:rPr>
          <w:i/>
          <w:iCs/>
          <w:lang w:val="es-MX"/>
        </w:rPr>
        <w:t>solamente</w:t>
      </w:r>
      <w:r w:rsidRPr="00D2411D">
        <w:rPr>
          <w:lang w:val="es-MX"/>
        </w:rPr>
        <w:t xml:space="preserve"> si: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b/>
          <w:bCs/>
          <w:i/>
          <w:iCs/>
          <w:lang w:val="es-MX"/>
        </w:rPr>
        <w:t>El saldo en caja proyectado (de acuerdo con el pronóstico del flujo de efectivo) excede o es inferior a su rango asignado de límite de existencia en caja.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>El objetivo de ejecutar un traslado de valores (dotación o recolección) en este escenario es mantener</w:t>
      </w:r>
      <w:r w:rsidRPr="00D2411D">
        <w:rPr>
          <w:lang w:val="es-MX"/>
        </w:rPr>
        <w:t xml:space="preserve"> a la sucursal dentro de su rango objetivo.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 xml:space="preserve">Dado que confiamos en los pronósticos generados con inteligencia artificial del flujo de efectivo, se les hará la recomendación a las sucursales que se espera superen su rango de límite de existencia que </w:t>
      </w:r>
      <w:r w:rsidRPr="00D2411D">
        <w:rPr>
          <w:lang w:val="es-MX"/>
        </w:rPr>
        <w:lastRenderedPageBreak/>
        <w:t>solicite</w:t>
      </w:r>
      <w:r w:rsidRPr="00D2411D">
        <w:rPr>
          <w:lang w:val="es-MX"/>
        </w:rPr>
        <w:t xml:space="preserve">n al inicio del periodo de dos semanas </w:t>
      </w:r>
      <w:r w:rsidRPr="00D2411D">
        <w:rPr>
          <w:b/>
          <w:bCs/>
          <w:lang w:val="es-MX"/>
        </w:rPr>
        <w:t>la cantidad necesaria para mantenerse en el punto medio de su rango asignado de límite de existencia</w:t>
      </w:r>
      <w:r w:rsidRPr="00D2411D">
        <w:rPr>
          <w:lang w:val="es-MX"/>
        </w:rPr>
        <w:t>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>Lo anterior permitirá minimizar el número de traslados durante el periodo, optimizando recursos logísticos y costos</w:t>
      </w:r>
      <w:r w:rsidRPr="00D2411D">
        <w:rPr>
          <w:lang w:val="es-MX"/>
        </w:rPr>
        <w:t xml:space="preserve"> operativos asociados al transporte de valores.</w:t>
      </w:r>
    </w:p>
    <w:p w:rsidR="00D91749" w:rsidRPr="00D2411D" w:rsidRDefault="00D2411D">
      <w:pPr>
        <w:pStyle w:val="Textodebloque"/>
        <w:rPr>
          <w:lang w:val="es-MX"/>
        </w:rPr>
      </w:pPr>
      <w:r w:rsidRPr="00D2411D">
        <w:rPr>
          <w:b/>
          <w:bCs/>
          <w:lang w:val="es-MX"/>
        </w:rPr>
        <w:t>Nota:</w:t>
      </w:r>
      <w:r w:rsidRPr="00D2411D">
        <w:rPr>
          <w:lang w:val="es-MX"/>
        </w:rPr>
        <w:t xml:space="preserve"> Esta regla aprovecha los pronósticos generados mediante técnicas de inteligencia artificial, permitiendo una anticipación proactiva de necesidades de efectivo.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b/>
          <w:bCs/>
          <w:lang w:val="es-MX"/>
        </w:rPr>
        <w:t>4.2 Monto Trasladado:</w:t>
      </w:r>
    </w:p>
    <w:p w:rsidR="00D91749" w:rsidRPr="00D2411D" w:rsidRDefault="00D2411D">
      <w:pPr>
        <w:numPr>
          <w:ilvl w:val="0"/>
          <w:numId w:val="10"/>
        </w:numPr>
        <w:rPr>
          <w:lang w:val="es-MX"/>
        </w:rPr>
      </w:pPr>
      <w:r w:rsidRPr="00D2411D">
        <w:rPr>
          <w:b/>
          <w:bCs/>
          <w:lang w:val="es-MX"/>
        </w:rPr>
        <w:t>Captadoras (flujo po</w:t>
      </w:r>
      <w:r w:rsidRPr="00D2411D">
        <w:rPr>
          <w:b/>
          <w:bCs/>
          <w:lang w:val="es-MX"/>
        </w:rPr>
        <w:t>sitivo):</w:t>
      </w:r>
      <w:r w:rsidRPr="00D2411D">
        <w:rPr>
          <w:lang w:val="es-MX"/>
        </w:rPr>
        <w:t xml:space="preserve"> Recolección solo si el efectivo excede el máximo del rango. Una vez realizada la recolección, la sucursal deberá quedarse con el equivalente al </w:t>
      </w:r>
      <w:r w:rsidRPr="00D2411D">
        <w:rPr>
          <w:b/>
          <w:bCs/>
          <w:lang w:val="es-MX"/>
        </w:rPr>
        <w:t>mínimo</w:t>
      </w:r>
      <w:r w:rsidRPr="00D2411D">
        <w:rPr>
          <w:lang w:val="es-MX"/>
        </w:rPr>
        <w:t xml:space="preserve"> de su rango asignado.</w:t>
      </w:r>
    </w:p>
    <w:p w:rsidR="00D91749" w:rsidRPr="00D2411D" w:rsidRDefault="00D2411D">
      <w:pPr>
        <w:pStyle w:val="Compact"/>
        <w:numPr>
          <w:ilvl w:val="1"/>
          <w:numId w:val="11"/>
        </w:numPr>
        <w:rPr>
          <w:lang w:val="es-MX"/>
        </w:rPr>
      </w:pPr>
      <w:r w:rsidRPr="00D2411D">
        <w:rPr>
          <w:lang w:val="es-MX"/>
        </w:rPr>
        <w:t xml:space="preserve">Las sucursales captadoras no podrán solicitar dotaciones de efectivo, </w:t>
      </w:r>
      <w:r w:rsidRPr="00D2411D">
        <w:rPr>
          <w:b/>
          <w:bCs/>
          <w:lang w:val="es-MX"/>
        </w:rPr>
        <w:t>exce</w:t>
      </w:r>
      <w:r w:rsidRPr="00D2411D">
        <w:rPr>
          <w:b/>
          <w:bCs/>
          <w:lang w:val="es-MX"/>
        </w:rPr>
        <w:t>pto en casos extraordinarios</w:t>
      </w:r>
      <w:r w:rsidRPr="00D2411D">
        <w:rPr>
          <w:lang w:val="es-MX"/>
        </w:rPr>
        <w:t>, los cuales deberán ser autorizados previamente por los coordinadores financieros de cada gerencia estatal.</w:t>
      </w:r>
    </w:p>
    <w:p w:rsidR="00D91749" w:rsidRPr="00D2411D" w:rsidRDefault="00D2411D">
      <w:pPr>
        <w:numPr>
          <w:ilvl w:val="0"/>
          <w:numId w:val="10"/>
        </w:numPr>
        <w:rPr>
          <w:lang w:val="es-MX"/>
        </w:rPr>
      </w:pPr>
      <w:r w:rsidRPr="00D2411D">
        <w:rPr>
          <w:b/>
          <w:bCs/>
          <w:lang w:val="es-MX"/>
        </w:rPr>
        <w:t>Pagadoras (flujo negativo):</w:t>
      </w:r>
      <w:r w:rsidRPr="00D2411D">
        <w:rPr>
          <w:lang w:val="es-MX"/>
        </w:rPr>
        <w:t xml:space="preserve"> Dotación solo si el efectivo cae debajo del mínimo del rango. Una vez realizada la dotación</w:t>
      </w:r>
      <w:r w:rsidRPr="00D2411D">
        <w:rPr>
          <w:lang w:val="es-MX"/>
        </w:rPr>
        <w:t xml:space="preserve">, la sucursal deberá quedarse con el equivalente al </w:t>
      </w:r>
      <w:r w:rsidRPr="00D2411D">
        <w:rPr>
          <w:b/>
          <w:bCs/>
          <w:lang w:val="es-MX"/>
        </w:rPr>
        <w:t>máximo</w:t>
      </w:r>
      <w:r w:rsidRPr="00D2411D">
        <w:rPr>
          <w:lang w:val="es-MX"/>
        </w:rPr>
        <w:t xml:space="preserve"> de su rango asignado.</w:t>
      </w:r>
    </w:p>
    <w:p w:rsidR="00D91749" w:rsidRPr="00D2411D" w:rsidRDefault="00D2411D">
      <w:pPr>
        <w:pStyle w:val="Compact"/>
        <w:numPr>
          <w:ilvl w:val="1"/>
          <w:numId w:val="12"/>
        </w:numPr>
        <w:rPr>
          <w:lang w:val="es-MX"/>
        </w:rPr>
      </w:pPr>
      <w:r w:rsidRPr="00D2411D">
        <w:rPr>
          <w:lang w:val="es-MX"/>
        </w:rPr>
        <w:t xml:space="preserve">Las sucursales pagadoras no podrán solicitar recolecciones de efectivo, </w:t>
      </w:r>
      <w:r w:rsidRPr="00D2411D">
        <w:rPr>
          <w:b/>
          <w:bCs/>
          <w:lang w:val="es-MX"/>
        </w:rPr>
        <w:t>excepto en casos extraordinarios</w:t>
      </w:r>
      <w:r w:rsidRPr="00D2411D">
        <w:rPr>
          <w:lang w:val="es-MX"/>
        </w:rPr>
        <w:t xml:space="preserve">, los cuales deberán ser autorizados previamente por </w:t>
      </w:r>
      <w:proofErr w:type="spellStart"/>
      <w:r w:rsidRPr="00D2411D">
        <w:rPr>
          <w:lang w:val="es-MX"/>
        </w:rPr>
        <w:t>por</w:t>
      </w:r>
      <w:proofErr w:type="spellEnd"/>
      <w:r w:rsidRPr="00D2411D">
        <w:rPr>
          <w:lang w:val="es-MX"/>
        </w:rPr>
        <w:t xml:space="preserve"> los coordinado</w:t>
      </w:r>
      <w:r w:rsidRPr="00D2411D">
        <w:rPr>
          <w:lang w:val="es-MX"/>
        </w:rPr>
        <w:t>res financieros de cada gerencia estatal.</w:t>
      </w:r>
    </w:p>
    <w:p w:rsidR="00D91749" w:rsidRPr="00D2411D" w:rsidRDefault="00D2411D">
      <w:pPr>
        <w:pStyle w:val="Ttulo4"/>
        <w:rPr>
          <w:color w:val="auto"/>
          <w:lang w:val="es-MX"/>
        </w:rPr>
      </w:pPr>
      <w:bookmarkStart w:id="15" w:name="reglas-de-decisión"/>
      <w:bookmarkEnd w:id="14"/>
      <w:r w:rsidRPr="00D2411D">
        <w:rPr>
          <w:color w:val="auto"/>
          <w:lang w:val="es-MX"/>
        </w:rPr>
        <w:t>4.3 Reglas de Decisión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b/>
          <w:bCs/>
          <w:lang w:val="es-MX"/>
        </w:rPr>
        <w:t>Restricciones según Rango: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 xml:space="preserve">Para garantizar una operación controlada y evitar un uso excesivo de traslados, se establecen restricciones a la frecuencia máxima de traslado según el rango de la </w:t>
      </w:r>
      <w:r w:rsidRPr="00D2411D">
        <w:rPr>
          <w:lang w:val="es-MX"/>
        </w:rPr>
        <w:t>sucursal:</w:t>
      </w:r>
    </w:p>
    <w:tbl>
      <w:tblPr>
        <w:tblStyle w:val="Table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24"/>
        <w:gridCol w:w="2284"/>
        <w:gridCol w:w="1711"/>
        <w:gridCol w:w="1511"/>
        <w:gridCol w:w="1791"/>
      </w:tblGrid>
      <w:tr w:rsidR="00D2411D" w:rsidRPr="00D2411D" w:rsidTr="00D2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Rango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Cada dos semanas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Cada semana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Cada 3 días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Cada 24 horas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A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i/>
                <w:iCs/>
                <w:lang w:val="es-MX"/>
              </w:rPr>
              <w:t>✗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i/>
                <w:iCs/>
                <w:lang w:val="es-MX"/>
              </w:rPr>
              <w:t>✗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i/>
                <w:iCs/>
                <w:lang w:val="es-MX"/>
              </w:rPr>
              <w:t>✗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B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i/>
                <w:iCs/>
                <w:lang w:val="es-MX"/>
              </w:rPr>
              <w:t>✗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i/>
                <w:iCs/>
                <w:lang w:val="es-MX"/>
              </w:rPr>
              <w:t>✗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C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i/>
                <w:iCs/>
                <w:lang w:val="es-MX"/>
              </w:rPr>
              <w:t>✗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D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i/>
                <w:iCs/>
                <w:lang w:val="es-MX"/>
              </w:rPr>
              <w:t>✗</w:t>
            </w:r>
          </w:p>
        </w:tc>
      </w:tr>
      <w:tr w:rsidR="00D2411D" w:rsidRPr="00D2411D" w:rsidTr="00D2411D">
        <w:trPr>
          <w:jc w:val="center"/>
        </w:trPr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E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  <w:tc>
          <w:tcPr>
            <w:tcW w:w="0" w:type="auto"/>
          </w:tcPr>
          <w:p w:rsidR="00D91749" w:rsidRPr="00D2411D" w:rsidRDefault="00D2411D" w:rsidP="00D2411D">
            <w:pPr>
              <w:pStyle w:val="Compact"/>
              <w:jc w:val="center"/>
              <w:rPr>
                <w:lang w:val="es-MX"/>
              </w:rPr>
            </w:pPr>
            <w:r w:rsidRPr="00D2411D">
              <w:rPr>
                <w:b/>
                <w:bCs/>
                <w:lang w:val="es-MX"/>
              </w:rPr>
              <w:t>✓</w:t>
            </w:r>
          </w:p>
        </w:tc>
      </w:tr>
    </w:tbl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 xml:space="preserve">Estas restricciones se aplican siempre que la sucursal </w:t>
      </w:r>
      <w:r w:rsidRPr="00D2411D">
        <w:rPr>
          <w:b/>
          <w:bCs/>
          <w:lang w:val="es-MX"/>
        </w:rPr>
        <w:t>se haya salido de su rango operativo asignado</w:t>
      </w:r>
      <w:r w:rsidRPr="00D2411D">
        <w:rPr>
          <w:lang w:val="es-MX"/>
        </w:rPr>
        <w:t xml:space="preserve"> </w:t>
      </w:r>
      <w:r w:rsidRPr="00D2411D">
        <w:rPr>
          <w:lang w:val="es-MX"/>
        </w:rPr>
        <w:t>según el pronóstico de flujo. La intensidad del excedente o escasez determinará la frecuencia dentro de los límites permitidos por su rango.</w:t>
      </w:r>
    </w:p>
    <w:p w:rsidR="00D91749" w:rsidRPr="00D2411D" w:rsidRDefault="00D2411D">
      <w:pPr>
        <w:pStyle w:val="Compact"/>
        <w:numPr>
          <w:ilvl w:val="0"/>
          <w:numId w:val="13"/>
        </w:numPr>
        <w:rPr>
          <w:lang w:val="es-MX"/>
        </w:rPr>
      </w:pPr>
      <w:r w:rsidRPr="00D2411D">
        <w:rPr>
          <w:b/>
          <w:bCs/>
          <w:lang w:val="es-MX"/>
        </w:rPr>
        <w:t>Rango A:</w:t>
      </w:r>
      <w:r w:rsidRPr="00D2411D">
        <w:rPr>
          <w:lang w:val="es-MX"/>
        </w:rPr>
        <w:t xml:space="preserve"> Solo podrá hacer traslados (dispersión o concentración) </w:t>
      </w:r>
      <w:r w:rsidRPr="00D2411D">
        <w:rPr>
          <w:b/>
          <w:bCs/>
          <w:lang w:val="es-MX"/>
        </w:rPr>
        <w:t>cada dos semanas</w:t>
      </w:r>
      <w:r w:rsidRPr="00D2411D">
        <w:rPr>
          <w:lang w:val="es-MX"/>
        </w:rPr>
        <w:t>.</w:t>
      </w:r>
    </w:p>
    <w:p w:rsidR="00D91749" w:rsidRPr="00D2411D" w:rsidRDefault="00D2411D">
      <w:pPr>
        <w:pStyle w:val="Compact"/>
        <w:numPr>
          <w:ilvl w:val="0"/>
          <w:numId w:val="13"/>
        </w:numPr>
        <w:rPr>
          <w:lang w:val="es-MX"/>
        </w:rPr>
      </w:pPr>
      <w:r w:rsidRPr="00D2411D">
        <w:rPr>
          <w:b/>
          <w:bCs/>
          <w:lang w:val="es-MX"/>
        </w:rPr>
        <w:t>Rango B:</w:t>
      </w:r>
      <w:r w:rsidRPr="00D2411D">
        <w:rPr>
          <w:lang w:val="es-MX"/>
        </w:rPr>
        <w:t xml:space="preserve"> Podrá hacer traslados </w:t>
      </w:r>
      <w:r w:rsidRPr="00D2411D">
        <w:rPr>
          <w:b/>
          <w:bCs/>
          <w:lang w:val="es-MX"/>
        </w:rPr>
        <w:t>c</w:t>
      </w:r>
      <w:r w:rsidRPr="00D2411D">
        <w:rPr>
          <w:b/>
          <w:bCs/>
          <w:lang w:val="es-MX"/>
        </w:rPr>
        <w:t>ada dos semanas o cada semana</w:t>
      </w:r>
      <w:r w:rsidRPr="00D2411D">
        <w:rPr>
          <w:lang w:val="es-MX"/>
        </w:rPr>
        <w:t>.</w:t>
      </w:r>
    </w:p>
    <w:p w:rsidR="00D91749" w:rsidRPr="00D2411D" w:rsidRDefault="00D2411D">
      <w:pPr>
        <w:pStyle w:val="Compact"/>
        <w:numPr>
          <w:ilvl w:val="0"/>
          <w:numId w:val="13"/>
        </w:numPr>
        <w:rPr>
          <w:lang w:val="es-MX"/>
        </w:rPr>
      </w:pPr>
      <w:r w:rsidRPr="00D2411D">
        <w:rPr>
          <w:b/>
          <w:bCs/>
          <w:lang w:val="es-MX"/>
        </w:rPr>
        <w:t>Rangos C y D:</w:t>
      </w:r>
      <w:r w:rsidRPr="00D2411D">
        <w:rPr>
          <w:lang w:val="es-MX"/>
        </w:rPr>
        <w:t xml:space="preserve"> Podrán hacer traslados </w:t>
      </w:r>
      <w:r w:rsidRPr="00D2411D">
        <w:rPr>
          <w:b/>
          <w:bCs/>
          <w:lang w:val="es-MX"/>
        </w:rPr>
        <w:t>cada dos semanas, cada semana o cada tres días</w:t>
      </w:r>
      <w:r w:rsidRPr="00D2411D">
        <w:rPr>
          <w:lang w:val="es-MX"/>
        </w:rPr>
        <w:t>.</w:t>
      </w:r>
    </w:p>
    <w:p w:rsidR="00D91749" w:rsidRPr="00D2411D" w:rsidRDefault="00D2411D">
      <w:pPr>
        <w:pStyle w:val="Compact"/>
        <w:numPr>
          <w:ilvl w:val="0"/>
          <w:numId w:val="13"/>
        </w:numPr>
        <w:rPr>
          <w:lang w:val="es-MX"/>
        </w:rPr>
      </w:pPr>
      <w:r w:rsidRPr="00D2411D">
        <w:rPr>
          <w:b/>
          <w:bCs/>
          <w:lang w:val="es-MX"/>
        </w:rPr>
        <w:t>Rango E:</w:t>
      </w:r>
      <w:r w:rsidRPr="00D2411D">
        <w:rPr>
          <w:lang w:val="es-MX"/>
        </w:rPr>
        <w:t xml:space="preserve"> Podrá realizar traslados </w:t>
      </w:r>
      <w:r w:rsidRPr="00D2411D">
        <w:rPr>
          <w:b/>
          <w:bCs/>
          <w:lang w:val="es-MX"/>
        </w:rPr>
        <w:t>cada dos semanas, cada semana o cada tres días o de forma diaria</w:t>
      </w:r>
      <w:r w:rsidRPr="00D2411D">
        <w:rPr>
          <w:lang w:val="es-MX"/>
        </w:rPr>
        <w:t>.</w:t>
      </w:r>
    </w:p>
    <w:p w:rsidR="00D91749" w:rsidRPr="00D2411D" w:rsidRDefault="00D2411D">
      <w:pPr>
        <w:pStyle w:val="Ttulo4"/>
        <w:rPr>
          <w:color w:val="auto"/>
          <w:lang w:val="es-MX"/>
        </w:rPr>
      </w:pPr>
      <w:bookmarkStart w:id="16" w:name="X759a5b5c66155b78b424761e31dfd4c6d476857"/>
      <w:bookmarkEnd w:id="15"/>
      <w:r w:rsidRPr="00D2411D">
        <w:rPr>
          <w:color w:val="auto"/>
          <w:lang w:val="es-MX"/>
        </w:rPr>
        <w:t>4.4 Determinación de la Frecuencia de lo</w:t>
      </w:r>
      <w:r w:rsidRPr="00D2411D">
        <w:rPr>
          <w:color w:val="auto"/>
          <w:lang w:val="es-MX"/>
        </w:rPr>
        <w:t>s Traslados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 xml:space="preserve">La </w:t>
      </w:r>
      <w:r w:rsidRPr="00D2411D">
        <w:rPr>
          <w:b/>
          <w:bCs/>
          <w:lang w:val="es-MX"/>
        </w:rPr>
        <w:t>intensidad del pronóstico</w:t>
      </w:r>
      <w:r w:rsidRPr="00D2411D">
        <w:rPr>
          <w:lang w:val="es-MX"/>
        </w:rPr>
        <w:t xml:space="preserve"> determina la frecuencia de las acciones:</w:t>
      </w:r>
    </w:p>
    <w:p w:rsidR="00D91749" w:rsidRPr="00D2411D" w:rsidRDefault="00D2411D">
      <w:pPr>
        <w:pStyle w:val="Compact"/>
        <w:numPr>
          <w:ilvl w:val="0"/>
          <w:numId w:val="14"/>
        </w:numPr>
        <w:rPr>
          <w:lang w:val="es-MX"/>
        </w:rPr>
      </w:pPr>
      <w:r w:rsidRPr="00D2411D">
        <w:rPr>
          <w:lang w:val="es-MX"/>
        </w:rPr>
        <w:lastRenderedPageBreak/>
        <w:t xml:space="preserve">Si el saldo proyectado </w:t>
      </w:r>
      <w:r w:rsidRPr="00D2411D">
        <w:rPr>
          <w:b/>
          <w:bCs/>
          <w:lang w:val="es-MX"/>
        </w:rPr>
        <w:t>supera o cae fuera de su rango asignado en menos del 30%</w:t>
      </w:r>
      <w:r w:rsidRPr="00D2411D">
        <w:rPr>
          <w:lang w:val="es-MX"/>
        </w:rPr>
        <w:t xml:space="preserve">, la dispersión o dotación podrá programarse en </w:t>
      </w:r>
      <w:r w:rsidRPr="00D2411D">
        <w:rPr>
          <w:b/>
          <w:bCs/>
          <w:lang w:val="es-MX"/>
        </w:rPr>
        <w:t>una o dos ocasiones</w:t>
      </w:r>
      <w:r w:rsidRPr="00D2411D">
        <w:rPr>
          <w:lang w:val="es-MX"/>
        </w:rPr>
        <w:t xml:space="preserve"> durante las siguientes dos </w:t>
      </w:r>
      <w:r w:rsidRPr="00D2411D">
        <w:rPr>
          <w:lang w:val="es-MX"/>
        </w:rPr>
        <w:t>semanas.</w:t>
      </w:r>
    </w:p>
    <w:p w:rsidR="00D91749" w:rsidRPr="00D2411D" w:rsidRDefault="00D2411D">
      <w:pPr>
        <w:pStyle w:val="Compact"/>
        <w:numPr>
          <w:ilvl w:val="0"/>
          <w:numId w:val="14"/>
        </w:numPr>
        <w:rPr>
          <w:lang w:val="es-MX"/>
        </w:rPr>
      </w:pPr>
      <w:r w:rsidRPr="00D2411D">
        <w:rPr>
          <w:lang w:val="es-MX"/>
        </w:rPr>
        <w:t xml:space="preserve">Si el flujo esperado </w:t>
      </w:r>
      <w:r w:rsidRPr="00D2411D">
        <w:rPr>
          <w:b/>
          <w:bCs/>
          <w:lang w:val="es-MX"/>
        </w:rPr>
        <w:t>rebasa el límite superior o inferior de su rango en más de 30%</w:t>
      </w:r>
      <w:r w:rsidRPr="00D2411D">
        <w:rPr>
          <w:lang w:val="es-MX"/>
        </w:rPr>
        <w:t xml:space="preserve">, la sucursal podrá solicitar </w:t>
      </w:r>
      <w:r w:rsidRPr="00D2411D">
        <w:rPr>
          <w:b/>
          <w:bCs/>
          <w:lang w:val="es-MX"/>
        </w:rPr>
        <w:t>traslados más frecuentes</w:t>
      </w:r>
      <w:r w:rsidRPr="00D2411D">
        <w:rPr>
          <w:lang w:val="es-MX"/>
        </w:rPr>
        <w:t xml:space="preserve">, incluso </w:t>
      </w:r>
      <w:r w:rsidRPr="00D2411D">
        <w:rPr>
          <w:b/>
          <w:bCs/>
          <w:lang w:val="es-MX"/>
        </w:rPr>
        <w:t>diarios</w:t>
      </w:r>
      <w:r w:rsidRPr="00D2411D">
        <w:rPr>
          <w:lang w:val="es-MX"/>
        </w:rPr>
        <w:t xml:space="preserve"> si la magnitud del exceso o déficit lo justifica.</w:t>
      </w:r>
    </w:p>
    <w:p w:rsidR="00D91749" w:rsidRPr="00D2411D" w:rsidRDefault="00D2411D">
      <w:pPr>
        <w:pStyle w:val="Textodebloque"/>
        <w:rPr>
          <w:lang w:val="es-MX"/>
        </w:rPr>
      </w:pPr>
      <w:r w:rsidRPr="00D2411D">
        <w:rPr>
          <w:b/>
          <w:bCs/>
          <w:lang w:val="es-MX"/>
        </w:rPr>
        <w:t>Nota técnica:</w:t>
      </w:r>
      <w:r w:rsidRPr="00D2411D">
        <w:rPr>
          <w:lang w:val="es-MX"/>
        </w:rPr>
        <w:t xml:space="preserve"> </w:t>
      </w:r>
      <w:r w:rsidRPr="00D2411D">
        <w:rPr>
          <w:lang w:val="es-MX"/>
        </w:rPr>
        <w:t xml:space="preserve">El porcentaje de 30% se considera un umbral operativo razonable, ya que permite tolerancia ante variaciones menores sin requerir traslados innecesarios, pero activa respuestas más frecuentes cuando el desajuste proyectado podría comprometer la operación o </w:t>
      </w:r>
      <w:r w:rsidRPr="00D2411D">
        <w:rPr>
          <w:lang w:val="es-MX"/>
        </w:rPr>
        <w:t>generar efectivo ocioso.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Esto asegura una operación eficiente y reactiva, manteniendo a cada sucursal dentro de los márgenes definidos para su tipo y nivel operativo. y reactiva, manteniendo a cada sucursal dentro de los márgenes definidos para su tipo y n</w:t>
      </w:r>
      <w:r w:rsidRPr="00D2411D">
        <w:rPr>
          <w:lang w:val="es-MX"/>
        </w:rPr>
        <w:t>ivel operativo.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b/>
          <w:bCs/>
          <w:lang w:val="es-MX"/>
        </w:rPr>
        <w:t>4.5</w:t>
      </w:r>
      <w:r w:rsidRPr="00D2411D">
        <w:rPr>
          <w:lang w:val="es-MX"/>
        </w:rPr>
        <w:t> </w:t>
      </w:r>
      <w:r w:rsidRPr="00D2411D">
        <w:rPr>
          <w:b/>
          <w:bCs/>
          <w:lang w:val="es-MX"/>
        </w:rPr>
        <w:t>Ejemplos de Aplicación Operativa del Traslado (Captadora y Pagadora)</w:t>
      </w:r>
    </w:p>
    <w:p w:rsidR="00D91749" w:rsidRPr="00D2411D" w:rsidRDefault="00D2411D">
      <w:pPr>
        <w:pStyle w:val="Ttulo4"/>
        <w:rPr>
          <w:color w:val="auto"/>
          <w:lang w:val="es-MX"/>
        </w:rPr>
      </w:pPr>
      <w:bookmarkStart w:id="17" w:name="ejemplo-1-sucursal-captadora-rango-b"/>
      <w:bookmarkEnd w:id="16"/>
      <w:r w:rsidRPr="00D2411D">
        <w:rPr>
          <w:b/>
          <w:bCs/>
          <w:color w:val="auto"/>
          <w:lang w:val="es-MX"/>
        </w:rPr>
        <w:t>Ejemplo 1: Sucursal Captadora – Rango B</w:t>
      </w:r>
    </w:p>
    <w:p w:rsidR="00D91749" w:rsidRPr="00D2411D" w:rsidRDefault="00D2411D">
      <w:pPr>
        <w:pStyle w:val="Compact"/>
        <w:numPr>
          <w:ilvl w:val="0"/>
          <w:numId w:val="15"/>
        </w:numPr>
        <w:rPr>
          <w:lang w:val="es-MX"/>
        </w:rPr>
      </w:pPr>
      <w:r w:rsidRPr="00D2411D">
        <w:rPr>
          <w:b/>
          <w:bCs/>
          <w:lang w:val="es-MX"/>
        </w:rPr>
        <w:t>Rango asignado:</w:t>
      </w:r>
      <w:r w:rsidRPr="00D2411D">
        <w:rPr>
          <w:lang w:val="es-MX"/>
        </w:rPr>
        <w:t xml:space="preserve"> B (Mínimo: $15,000 / Máximo: $50,000)</w:t>
      </w:r>
    </w:p>
    <w:p w:rsidR="00D91749" w:rsidRPr="00D2411D" w:rsidRDefault="00D2411D">
      <w:pPr>
        <w:pStyle w:val="Compact"/>
        <w:numPr>
          <w:ilvl w:val="0"/>
          <w:numId w:val="15"/>
        </w:numPr>
        <w:rPr>
          <w:lang w:val="es-MX"/>
        </w:rPr>
      </w:pPr>
      <w:r w:rsidRPr="00D2411D">
        <w:rPr>
          <w:b/>
          <w:bCs/>
          <w:lang w:val="es-MX"/>
        </w:rPr>
        <w:t>Saldo actual:</w:t>
      </w:r>
      <w:r w:rsidRPr="00D2411D">
        <w:rPr>
          <w:lang w:val="es-MX"/>
        </w:rPr>
        <w:t xml:space="preserve"> $30,000</w:t>
      </w:r>
    </w:p>
    <w:p w:rsidR="00D91749" w:rsidRPr="00D2411D" w:rsidRDefault="00D2411D">
      <w:pPr>
        <w:pStyle w:val="Compact"/>
        <w:numPr>
          <w:ilvl w:val="0"/>
          <w:numId w:val="15"/>
        </w:numPr>
        <w:rPr>
          <w:lang w:val="es-MX"/>
        </w:rPr>
      </w:pPr>
      <w:r w:rsidRPr="00D2411D">
        <w:rPr>
          <w:b/>
          <w:bCs/>
          <w:lang w:val="es-MX"/>
        </w:rPr>
        <w:t>Pronóstico de flujo para 2 semanas:</w:t>
      </w:r>
      <w:r w:rsidRPr="00D2411D">
        <w:rPr>
          <w:lang w:val="es-MX"/>
        </w:rPr>
        <w:t xml:space="preserve"> +$100,000</w:t>
      </w:r>
    </w:p>
    <w:p w:rsidR="00D91749" w:rsidRPr="00D2411D" w:rsidRDefault="00D2411D">
      <w:pPr>
        <w:pStyle w:val="Compact"/>
        <w:numPr>
          <w:ilvl w:val="0"/>
          <w:numId w:val="15"/>
        </w:numPr>
        <w:rPr>
          <w:lang w:val="es-MX"/>
        </w:rPr>
      </w:pPr>
      <w:r w:rsidRPr="00D2411D">
        <w:rPr>
          <w:b/>
          <w:bCs/>
          <w:lang w:val="es-MX"/>
        </w:rPr>
        <w:t>Saldo</w:t>
      </w:r>
      <w:r w:rsidRPr="00D2411D">
        <w:rPr>
          <w:b/>
          <w:bCs/>
          <w:lang w:val="es-MX"/>
        </w:rPr>
        <w:t xml:space="preserve"> estimado al final del periodo:</w:t>
      </w:r>
      <w:r w:rsidRPr="00D2411D">
        <w:rPr>
          <w:lang w:val="es-MX"/>
        </w:rPr>
        <w:t xml:space="preserve"> $130,000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b/>
          <w:bCs/>
          <w:lang w:val="es-MX"/>
        </w:rPr>
        <w:t>Interpretación:</w:t>
      </w:r>
      <w:r w:rsidRPr="00D2411D">
        <w:rPr>
          <w:lang w:val="es-MX"/>
        </w:rPr>
        <w:t xml:space="preserve"> El saldo esperado supera el límite máximo del rango B por $80,000, lo cual representa un 160% de exceso respecto al máximo.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b/>
          <w:bCs/>
          <w:lang w:val="es-MX"/>
        </w:rPr>
        <w:t>Acción:</w:t>
      </w:r>
      <w:r w:rsidRPr="00D2411D">
        <w:rPr>
          <w:lang w:val="es-MX"/>
        </w:rPr>
        <w:t xml:space="preserve"> Se programará una </w:t>
      </w:r>
      <w:r w:rsidRPr="00D2411D">
        <w:rPr>
          <w:b/>
          <w:bCs/>
          <w:lang w:val="es-MX"/>
        </w:rPr>
        <w:t>dispersión de efectivo</w:t>
      </w:r>
      <w:r w:rsidRPr="00D2411D">
        <w:rPr>
          <w:lang w:val="es-MX"/>
        </w:rPr>
        <w:t>.</w:t>
      </w:r>
    </w:p>
    <w:p w:rsidR="00D91749" w:rsidRPr="00D2411D" w:rsidRDefault="00D2411D">
      <w:pPr>
        <w:pStyle w:val="Compact"/>
        <w:numPr>
          <w:ilvl w:val="0"/>
          <w:numId w:val="16"/>
        </w:numPr>
        <w:rPr>
          <w:lang w:val="es-MX"/>
        </w:rPr>
      </w:pPr>
      <w:r w:rsidRPr="00D2411D">
        <w:rPr>
          <w:b/>
          <w:bCs/>
          <w:lang w:val="es-MX"/>
        </w:rPr>
        <w:t>Cantidad a trasladar:</w:t>
      </w:r>
      <w:r w:rsidRPr="00D2411D">
        <w:rPr>
          <w:lang w:val="es-MX"/>
        </w:rPr>
        <w:t xml:space="preserve"> $11</w:t>
      </w:r>
      <w:r w:rsidRPr="00D2411D">
        <w:rPr>
          <w:lang w:val="es-MX"/>
        </w:rPr>
        <w:t>5,000 (para regresar al mínimo del rango: $130,000 - $15,000).</w:t>
      </w:r>
    </w:p>
    <w:p w:rsidR="00D91749" w:rsidRPr="00D2411D" w:rsidRDefault="00D2411D">
      <w:pPr>
        <w:pStyle w:val="Compact"/>
        <w:numPr>
          <w:ilvl w:val="0"/>
          <w:numId w:val="16"/>
        </w:numPr>
        <w:rPr>
          <w:lang w:val="es-MX"/>
        </w:rPr>
      </w:pPr>
      <w:r w:rsidRPr="00D2411D">
        <w:rPr>
          <w:b/>
          <w:bCs/>
          <w:lang w:val="es-MX"/>
        </w:rPr>
        <w:t>Frecuencia recomendada:</w:t>
      </w:r>
      <w:r w:rsidRPr="00D2411D">
        <w:rPr>
          <w:lang w:val="es-MX"/>
        </w:rPr>
        <w:t xml:space="preserve"> </w:t>
      </w:r>
      <w:r w:rsidRPr="00D2411D">
        <w:rPr>
          <w:b/>
          <w:bCs/>
          <w:lang w:val="es-MX"/>
        </w:rPr>
        <w:t>Cada 3 días</w:t>
      </w:r>
      <w:r w:rsidRPr="00D2411D">
        <w:rPr>
          <w:lang w:val="es-MX"/>
        </w:rPr>
        <w:t>, dado que el exceso proyectado es significativo y se desea evitar acumulación innecesaria de efectivo.</w:t>
      </w:r>
    </w:p>
    <w:p w:rsidR="00D91749" w:rsidRPr="00D2411D" w:rsidRDefault="00D91749">
      <w:pPr>
        <w:rPr>
          <w:lang w:val="es-MX"/>
        </w:rPr>
      </w:pPr>
    </w:p>
    <w:p w:rsidR="00D91749" w:rsidRPr="00D2411D" w:rsidRDefault="00D2411D">
      <w:pPr>
        <w:pStyle w:val="Ttulo4"/>
        <w:rPr>
          <w:color w:val="auto"/>
          <w:lang w:val="es-MX"/>
        </w:rPr>
      </w:pPr>
      <w:bookmarkStart w:id="18" w:name="ejemplo-2-sucursal-pagadora-rango-d"/>
      <w:bookmarkEnd w:id="17"/>
      <w:r w:rsidRPr="00D2411D">
        <w:rPr>
          <w:b/>
          <w:bCs/>
          <w:color w:val="auto"/>
          <w:lang w:val="es-MX"/>
        </w:rPr>
        <w:t>Ejemplo 2: Sucursal Pagadora – Rango D</w:t>
      </w:r>
    </w:p>
    <w:p w:rsidR="00D91749" w:rsidRPr="00D2411D" w:rsidRDefault="00D2411D">
      <w:pPr>
        <w:pStyle w:val="Compact"/>
        <w:numPr>
          <w:ilvl w:val="0"/>
          <w:numId w:val="17"/>
        </w:numPr>
        <w:rPr>
          <w:lang w:val="es-MX"/>
        </w:rPr>
      </w:pPr>
      <w:r w:rsidRPr="00D2411D">
        <w:rPr>
          <w:b/>
          <w:bCs/>
          <w:lang w:val="es-MX"/>
        </w:rPr>
        <w:t>Rango asignado:</w:t>
      </w:r>
      <w:r w:rsidRPr="00D2411D">
        <w:rPr>
          <w:lang w:val="es-MX"/>
        </w:rPr>
        <w:t xml:space="preserve"> D (Mínimo: $120,000 / Máximo: $300,000)</w:t>
      </w:r>
    </w:p>
    <w:p w:rsidR="00D91749" w:rsidRPr="00D2411D" w:rsidRDefault="00D2411D">
      <w:pPr>
        <w:pStyle w:val="Compact"/>
        <w:numPr>
          <w:ilvl w:val="0"/>
          <w:numId w:val="17"/>
        </w:numPr>
        <w:rPr>
          <w:lang w:val="es-MX"/>
        </w:rPr>
      </w:pPr>
      <w:r w:rsidRPr="00D2411D">
        <w:rPr>
          <w:b/>
          <w:bCs/>
          <w:lang w:val="es-MX"/>
        </w:rPr>
        <w:t>Saldo actual:</w:t>
      </w:r>
      <w:r w:rsidRPr="00D2411D">
        <w:rPr>
          <w:lang w:val="es-MX"/>
        </w:rPr>
        <w:t xml:space="preserve"> $150,000</w:t>
      </w:r>
    </w:p>
    <w:p w:rsidR="00D91749" w:rsidRPr="00D2411D" w:rsidRDefault="00D2411D">
      <w:pPr>
        <w:pStyle w:val="Compact"/>
        <w:numPr>
          <w:ilvl w:val="0"/>
          <w:numId w:val="17"/>
        </w:numPr>
        <w:rPr>
          <w:lang w:val="es-MX"/>
        </w:rPr>
      </w:pPr>
      <w:r w:rsidRPr="00D2411D">
        <w:rPr>
          <w:b/>
          <w:bCs/>
          <w:lang w:val="es-MX"/>
        </w:rPr>
        <w:t>Pronóstico de flujo para 2 semanas:</w:t>
      </w:r>
      <w:r w:rsidRPr="00D2411D">
        <w:rPr>
          <w:lang w:val="es-MX"/>
        </w:rPr>
        <w:t xml:space="preserve"> –$180,000</w:t>
      </w:r>
    </w:p>
    <w:p w:rsidR="00D91749" w:rsidRPr="00D2411D" w:rsidRDefault="00D2411D">
      <w:pPr>
        <w:pStyle w:val="Compact"/>
        <w:numPr>
          <w:ilvl w:val="0"/>
          <w:numId w:val="17"/>
        </w:numPr>
        <w:rPr>
          <w:lang w:val="es-MX"/>
        </w:rPr>
      </w:pPr>
      <w:r w:rsidRPr="00D2411D">
        <w:rPr>
          <w:b/>
          <w:bCs/>
          <w:lang w:val="es-MX"/>
        </w:rPr>
        <w:t>Saldo estimado al final del periodo:</w:t>
      </w:r>
      <w:r w:rsidRPr="00D2411D">
        <w:rPr>
          <w:lang w:val="es-MX"/>
        </w:rPr>
        <w:t xml:space="preserve"> –$30,000 (déficit)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b/>
          <w:bCs/>
          <w:lang w:val="es-MX"/>
        </w:rPr>
        <w:t>Interpretación:</w:t>
      </w:r>
      <w:r w:rsidRPr="00D2411D">
        <w:rPr>
          <w:lang w:val="es-MX"/>
        </w:rPr>
        <w:t xml:space="preserve"> El déficit proyectado es de $150,000 respecto al mínimo del</w:t>
      </w:r>
      <w:r w:rsidRPr="00D2411D">
        <w:rPr>
          <w:lang w:val="es-MX"/>
        </w:rPr>
        <w:t xml:space="preserve"> rango D, equivalente a un 125% por debajo del umbral mínimo.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b/>
          <w:bCs/>
          <w:lang w:val="es-MX"/>
        </w:rPr>
        <w:t>Acción:</w:t>
      </w:r>
      <w:r w:rsidRPr="00D2411D">
        <w:rPr>
          <w:lang w:val="es-MX"/>
        </w:rPr>
        <w:t xml:space="preserve"> Se requerirá una </w:t>
      </w:r>
      <w:r w:rsidRPr="00D2411D">
        <w:rPr>
          <w:b/>
          <w:bCs/>
          <w:lang w:val="es-MX"/>
        </w:rPr>
        <w:t>dotación de efectivo</w:t>
      </w:r>
      <w:r w:rsidRPr="00D2411D">
        <w:rPr>
          <w:lang w:val="es-MX"/>
        </w:rPr>
        <w:t>.</w:t>
      </w:r>
    </w:p>
    <w:p w:rsidR="00D91749" w:rsidRPr="00D2411D" w:rsidRDefault="00D2411D">
      <w:pPr>
        <w:numPr>
          <w:ilvl w:val="0"/>
          <w:numId w:val="18"/>
        </w:numPr>
        <w:rPr>
          <w:lang w:val="es-MX"/>
        </w:rPr>
      </w:pPr>
      <w:r w:rsidRPr="00D2411D">
        <w:rPr>
          <w:b/>
          <w:bCs/>
          <w:lang w:val="es-MX"/>
        </w:rPr>
        <w:t>Cantidad a trasladar:</w:t>
      </w:r>
      <w:r w:rsidRPr="00D2411D">
        <w:rPr>
          <w:lang w:val="es-MX"/>
        </w:rPr>
        <w:t xml:space="preserve"> $330,000 (para alcanzar el máximo del rango: $300,000 + $30,000 de déficit proyectado).</w:t>
      </w:r>
    </w:p>
    <w:p w:rsidR="00D91749" w:rsidRPr="00D2411D" w:rsidRDefault="00D2411D">
      <w:pPr>
        <w:numPr>
          <w:ilvl w:val="0"/>
          <w:numId w:val="18"/>
        </w:numPr>
        <w:rPr>
          <w:lang w:val="es-MX"/>
        </w:rPr>
      </w:pPr>
      <w:r w:rsidRPr="00D2411D">
        <w:rPr>
          <w:b/>
          <w:bCs/>
          <w:lang w:val="es-MX"/>
        </w:rPr>
        <w:t>Frecuencia recomendada:</w:t>
      </w:r>
      <w:r w:rsidRPr="00D2411D">
        <w:rPr>
          <w:lang w:val="es-MX"/>
        </w:rPr>
        <w:t xml:space="preserve"> </w:t>
      </w:r>
      <w:r w:rsidRPr="00D2411D">
        <w:rPr>
          <w:b/>
          <w:bCs/>
          <w:lang w:val="es-MX"/>
        </w:rPr>
        <w:t>Cada 24 horas</w:t>
      </w:r>
      <w:r w:rsidRPr="00D2411D">
        <w:rPr>
          <w:lang w:val="es-MX"/>
        </w:rPr>
        <w:t>, debido a que la operación podría verse comprometida por falta de fondos.</w:t>
      </w:r>
    </w:p>
    <w:p w:rsidR="00D91749" w:rsidRPr="00D2411D" w:rsidRDefault="00D91749">
      <w:pPr>
        <w:rPr>
          <w:lang w:val="es-MX"/>
        </w:rPr>
      </w:pPr>
    </w:p>
    <w:p w:rsidR="00D91749" w:rsidRPr="00D2411D" w:rsidRDefault="00D2411D">
      <w:pPr>
        <w:pStyle w:val="Ttulo3"/>
        <w:rPr>
          <w:color w:val="auto"/>
          <w:lang w:val="es-MX"/>
        </w:rPr>
      </w:pPr>
      <w:bookmarkStart w:id="19" w:name="responsables-operativos"/>
      <w:bookmarkEnd w:id="13"/>
      <w:bookmarkEnd w:id="18"/>
      <w:r w:rsidRPr="00D2411D">
        <w:rPr>
          <w:color w:val="auto"/>
          <w:lang w:val="es-MX"/>
        </w:rPr>
        <w:lastRenderedPageBreak/>
        <w:t>5. Responsables Operativos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La ejecución de estas políticas es responsabilidad de los siguientes actores clave:</w:t>
      </w:r>
    </w:p>
    <w:p w:rsidR="00D91749" w:rsidRPr="00D2411D" w:rsidRDefault="00D2411D">
      <w:pPr>
        <w:pStyle w:val="Compact"/>
        <w:numPr>
          <w:ilvl w:val="0"/>
          <w:numId w:val="19"/>
        </w:numPr>
        <w:rPr>
          <w:lang w:val="es-MX"/>
        </w:rPr>
      </w:pPr>
      <w:r w:rsidRPr="00D2411D">
        <w:rPr>
          <w:b/>
          <w:bCs/>
          <w:lang w:val="es-MX"/>
        </w:rPr>
        <w:t>Subdirección de Presupuesto y Contabilidad:</w:t>
      </w:r>
      <w:r w:rsidRPr="00D2411D">
        <w:rPr>
          <w:lang w:val="es-MX"/>
        </w:rPr>
        <w:t xml:space="preserve"> </w:t>
      </w:r>
      <w:r w:rsidRPr="00D2411D">
        <w:rPr>
          <w:lang w:val="es-MX"/>
        </w:rPr>
        <w:t>Supervisión general del cumplimiento de límites y saldos.</w:t>
      </w:r>
    </w:p>
    <w:p w:rsidR="00D91749" w:rsidRPr="00D2411D" w:rsidRDefault="00D2411D">
      <w:pPr>
        <w:pStyle w:val="Compact"/>
        <w:numPr>
          <w:ilvl w:val="0"/>
          <w:numId w:val="19"/>
        </w:numPr>
        <w:rPr>
          <w:lang w:val="es-MX"/>
        </w:rPr>
      </w:pPr>
      <w:r w:rsidRPr="00D2411D">
        <w:rPr>
          <w:b/>
          <w:bCs/>
          <w:lang w:val="es-MX"/>
        </w:rPr>
        <w:t>Gerencia de Operación y Dispersión de Fondos:</w:t>
      </w:r>
      <w:r w:rsidRPr="00D2411D">
        <w:rPr>
          <w:lang w:val="es-MX"/>
        </w:rPr>
        <w:t xml:space="preserve"> Seguimiento de saldos diarios y coordinación de traslados.</w:t>
      </w:r>
    </w:p>
    <w:p w:rsidR="00D91749" w:rsidRPr="00D2411D" w:rsidRDefault="00D2411D">
      <w:pPr>
        <w:pStyle w:val="Compact"/>
        <w:numPr>
          <w:ilvl w:val="0"/>
          <w:numId w:val="19"/>
        </w:numPr>
        <w:rPr>
          <w:lang w:val="es-MX"/>
        </w:rPr>
      </w:pPr>
      <w:r w:rsidRPr="00D2411D">
        <w:rPr>
          <w:b/>
          <w:bCs/>
          <w:lang w:val="es-MX"/>
        </w:rPr>
        <w:t>Gerencia de Nuevos Proyectos</w:t>
      </w:r>
      <w:r w:rsidRPr="00D2411D">
        <w:rPr>
          <w:lang w:val="es-MX"/>
        </w:rPr>
        <w:t xml:space="preserve"> (Subdirección de </w:t>
      </w:r>
      <w:proofErr w:type="spellStart"/>
      <w:r w:rsidRPr="00D2411D">
        <w:rPr>
          <w:lang w:val="es-MX"/>
        </w:rPr>
        <w:t>TICs</w:t>
      </w:r>
      <w:proofErr w:type="spellEnd"/>
      <w:r w:rsidRPr="00D2411D">
        <w:rPr>
          <w:lang w:val="es-MX"/>
        </w:rPr>
        <w:t>): Soporte en la integración tecnológica de</w:t>
      </w:r>
      <w:r w:rsidRPr="00D2411D">
        <w:rPr>
          <w:lang w:val="es-MX"/>
        </w:rPr>
        <w:t>l modelo predictivo.</w:t>
      </w:r>
    </w:p>
    <w:p w:rsidR="00D91749" w:rsidRPr="00D2411D" w:rsidRDefault="00D2411D">
      <w:pPr>
        <w:pStyle w:val="Compact"/>
        <w:numPr>
          <w:ilvl w:val="0"/>
          <w:numId w:val="19"/>
        </w:numPr>
        <w:rPr>
          <w:lang w:val="es-MX"/>
        </w:rPr>
      </w:pPr>
      <w:r w:rsidRPr="00D2411D">
        <w:rPr>
          <w:b/>
          <w:bCs/>
          <w:lang w:val="es-MX"/>
        </w:rPr>
        <w:t>Gerencia de Procedimientos de Operación</w:t>
      </w:r>
      <w:r w:rsidRPr="00D2411D">
        <w:rPr>
          <w:lang w:val="es-MX"/>
        </w:rPr>
        <w:t xml:space="preserve"> (DSFOS): Implementación operativa y adaptación de lineamientos a la operación en sucursales.</w:t>
      </w:r>
    </w:p>
    <w:p w:rsidR="00D91749" w:rsidRPr="00D2411D" w:rsidRDefault="00D2411D">
      <w:pPr>
        <w:pStyle w:val="Compact"/>
        <w:numPr>
          <w:ilvl w:val="0"/>
          <w:numId w:val="19"/>
        </w:numPr>
        <w:rPr>
          <w:lang w:val="es-MX"/>
        </w:rPr>
      </w:pPr>
      <w:r w:rsidRPr="00D2411D">
        <w:rPr>
          <w:b/>
          <w:bCs/>
          <w:lang w:val="es-MX"/>
        </w:rPr>
        <w:t>Coordinadores Financieros de cada Gerencia Estatal:</w:t>
      </w:r>
      <w:r w:rsidRPr="00D2411D">
        <w:rPr>
          <w:lang w:val="es-MX"/>
        </w:rPr>
        <w:t xml:space="preserve"> Responsables de autorizar excepciones operativas (</w:t>
      </w:r>
      <w:r w:rsidRPr="00D2411D">
        <w:rPr>
          <w:lang w:val="es-MX"/>
        </w:rPr>
        <w:t>recolecciones en sucursales pagadoras o dotaciones en captadoras), dar seguimiento regional al cumplimiento de límites de efectivo y fungir como enlace operativo con Tesorería para decisiones de concentración o dispersión de recursos a nivel gerencia.</w:t>
      </w:r>
    </w:p>
    <w:p w:rsidR="00D91749" w:rsidRPr="00D2411D" w:rsidRDefault="00D91749">
      <w:pPr>
        <w:rPr>
          <w:lang w:val="es-MX"/>
        </w:rPr>
      </w:pPr>
    </w:p>
    <w:p w:rsidR="00D91749" w:rsidRPr="00D2411D" w:rsidRDefault="00D2411D">
      <w:pPr>
        <w:pStyle w:val="Ttulo3"/>
        <w:rPr>
          <w:color w:val="auto"/>
          <w:lang w:val="es-MX"/>
        </w:rPr>
      </w:pPr>
      <w:bookmarkStart w:id="20" w:name="excepciones-y-casos-especiales"/>
      <w:bookmarkEnd w:id="19"/>
      <w:r w:rsidRPr="00D2411D">
        <w:rPr>
          <w:color w:val="auto"/>
          <w:lang w:val="es-MX"/>
        </w:rPr>
        <w:t>6.</w:t>
      </w:r>
      <w:r w:rsidRPr="00D2411D">
        <w:rPr>
          <w:color w:val="auto"/>
          <w:lang w:val="es-MX"/>
        </w:rPr>
        <w:t xml:space="preserve"> Excepciones y Casos Especiales</w:t>
      </w:r>
    </w:p>
    <w:p w:rsidR="00D91749" w:rsidRPr="00D2411D" w:rsidRDefault="00D2411D">
      <w:pPr>
        <w:pStyle w:val="Compact"/>
        <w:numPr>
          <w:ilvl w:val="0"/>
          <w:numId w:val="20"/>
        </w:numPr>
        <w:rPr>
          <w:lang w:val="es-MX"/>
        </w:rPr>
      </w:pPr>
      <w:r w:rsidRPr="00D2411D">
        <w:rPr>
          <w:lang w:val="es-MX"/>
        </w:rPr>
        <w:t>Sucursales con eventos atípicos (jornadas de pago, ferias, programas especiales).</w:t>
      </w:r>
    </w:p>
    <w:p w:rsidR="00D91749" w:rsidRPr="00D2411D" w:rsidRDefault="00D2411D">
      <w:pPr>
        <w:pStyle w:val="Compact"/>
        <w:numPr>
          <w:ilvl w:val="0"/>
          <w:numId w:val="20"/>
        </w:numPr>
        <w:rPr>
          <w:lang w:val="es-MX"/>
        </w:rPr>
      </w:pPr>
      <w:r w:rsidRPr="00D2411D">
        <w:rPr>
          <w:lang w:val="es-MX"/>
        </w:rPr>
        <w:t>Fallas en el sistema de pronóstico o datos incompletos.</w:t>
      </w:r>
    </w:p>
    <w:p w:rsidR="00D91749" w:rsidRPr="00D2411D" w:rsidRDefault="00D2411D">
      <w:pPr>
        <w:pStyle w:val="Compact"/>
        <w:numPr>
          <w:ilvl w:val="0"/>
          <w:numId w:val="20"/>
        </w:numPr>
        <w:rPr>
          <w:lang w:val="es-MX"/>
        </w:rPr>
      </w:pPr>
      <w:r w:rsidRPr="00D2411D">
        <w:rPr>
          <w:lang w:val="es-MX"/>
        </w:rPr>
        <w:t>Riesgos de seguridad que impidan traslados programados.</w:t>
      </w:r>
    </w:p>
    <w:p w:rsidR="00D91749" w:rsidRPr="00D2411D" w:rsidRDefault="00D2411D">
      <w:pPr>
        <w:pStyle w:val="Compact"/>
        <w:numPr>
          <w:ilvl w:val="0"/>
          <w:numId w:val="20"/>
        </w:numPr>
        <w:rPr>
          <w:lang w:val="es-MX"/>
        </w:rPr>
      </w:pPr>
      <w:r w:rsidRPr="00D2411D">
        <w:rPr>
          <w:lang w:val="es-MX"/>
        </w:rPr>
        <w:t>Municipios con infraestructura</w:t>
      </w:r>
      <w:r w:rsidRPr="00D2411D">
        <w:rPr>
          <w:lang w:val="es-MX"/>
        </w:rPr>
        <w:t xml:space="preserve"> logística limitada o sin acceso a servicios </w:t>
      </w:r>
      <w:proofErr w:type="spellStart"/>
      <w:r w:rsidRPr="00D2411D">
        <w:rPr>
          <w:lang w:val="es-MX"/>
        </w:rPr>
        <w:t>tercerizados</w:t>
      </w:r>
      <w:proofErr w:type="spellEnd"/>
      <w:r w:rsidRPr="00D2411D">
        <w:rPr>
          <w:lang w:val="es-MX"/>
        </w:rPr>
        <w:t>.</w:t>
      </w:r>
    </w:p>
    <w:p w:rsidR="00D91749" w:rsidRPr="00D2411D" w:rsidRDefault="00D91749">
      <w:pPr>
        <w:rPr>
          <w:lang w:val="es-MX"/>
        </w:rPr>
      </w:pPr>
    </w:p>
    <w:p w:rsidR="00D91749" w:rsidRPr="00D2411D" w:rsidRDefault="00D2411D">
      <w:pPr>
        <w:pStyle w:val="Ttulo3"/>
        <w:rPr>
          <w:color w:val="auto"/>
          <w:lang w:val="es-MX"/>
        </w:rPr>
      </w:pPr>
      <w:bookmarkStart w:id="21" w:name="ventajas-clave"/>
      <w:bookmarkEnd w:id="20"/>
      <w:r w:rsidRPr="00D2411D">
        <w:rPr>
          <w:color w:val="auto"/>
          <w:lang w:val="es-MX"/>
        </w:rPr>
        <w:t>7. Ventajas Clave</w:t>
      </w:r>
    </w:p>
    <w:p w:rsidR="00D91749" w:rsidRPr="00D2411D" w:rsidRDefault="00D2411D">
      <w:pPr>
        <w:pStyle w:val="Compact"/>
        <w:numPr>
          <w:ilvl w:val="0"/>
          <w:numId w:val="21"/>
        </w:numPr>
        <w:rPr>
          <w:lang w:val="es-MX"/>
        </w:rPr>
      </w:pPr>
      <w:r w:rsidRPr="00D2411D">
        <w:rPr>
          <w:b/>
          <w:bCs/>
          <w:lang w:val="es-MX"/>
        </w:rPr>
        <w:t>Menos efectivo ocioso:</w:t>
      </w:r>
      <w:r w:rsidRPr="00D2411D">
        <w:rPr>
          <w:lang w:val="es-MX"/>
        </w:rPr>
        <w:t xml:space="preserve"> Rangos ajustados + Índice de Actividad evitan sobredimensionamiento.</w:t>
      </w:r>
    </w:p>
    <w:p w:rsidR="00D91749" w:rsidRPr="00D2411D" w:rsidRDefault="00D2411D">
      <w:pPr>
        <w:pStyle w:val="Compact"/>
        <w:numPr>
          <w:ilvl w:val="0"/>
          <w:numId w:val="21"/>
        </w:numPr>
        <w:rPr>
          <w:lang w:val="es-MX"/>
        </w:rPr>
      </w:pPr>
      <w:r w:rsidRPr="00D2411D">
        <w:rPr>
          <w:b/>
          <w:bCs/>
          <w:lang w:val="es-MX"/>
        </w:rPr>
        <w:t>Simplicidad operativa:</w:t>
      </w:r>
      <w:r w:rsidRPr="00D2411D">
        <w:rPr>
          <w:lang w:val="es-MX"/>
        </w:rPr>
        <w:t xml:space="preserve"> 5 rangos claros permiten una clasificación más precisa sin per</w:t>
      </w:r>
      <w:r w:rsidRPr="00D2411D">
        <w:rPr>
          <w:lang w:val="es-MX"/>
        </w:rPr>
        <w:t>der manejabilidad.</w:t>
      </w:r>
    </w:p>
    <w:p w:rsidR="00D91749" w:rsidRPr="00D2411D" w:rsidRDefault="00D2411D">
      <w:pPr>
        <w:pStyle w:val="Compact"/>
        <w:numPr>
          <w:ilvl w:val="0"/>
          <w:numId w:val="21"/>
        </w:numPr>
        <w:rPr>
          <w:lang w:val="es-MX"/>
        </w:rPr>
      </w:pPr>
      <w:r w:rsidRPr="00D2411D">
        <w:rPr>
          <w:b/>
          <w:bCs/>
          <w:lang w:val="es-MX"/>
        </w:rPr>
        <w:t>Pronóstico como base:</w:t>
      </w:r>
      <w:r w:rsidRPr="00D2411D">
        <w:rPr>
          <w:lang w:val="es-MX"/>
        </w:rPr>
        <w:t xml:space="preserve"> Decisiones se anticipan con base en modelos predictivos a dos semanas.</w:t>
      </w:r>
    </w:p>
    <w:p w:rsidR="00D91749" w:rsidRPr="00D2411D" w:rsidRDefault="00D91749">
      <w:pPr>
        <w:rPr>
          <w:lang w:val="es-MX"/>
        </w:rPr>
      </w:pPr>
    </w:p>
    <w:p w:rsidR="00D91749" w:rsidRPr="00D2411D" w:rsidRDefault="00D2411D">
      <w:pPr>
        <w:pStyle w:val="Ttulo3"/>
        <w:rPr>
          <w:color w:val="auto"/>
          <w:lang w:val="es-MX"/>
        </w:rPr>
      </w:pPr>
      <w:bookmarkStart w:id="22" w:name="políticas-a-nivel-gerencia-regional"/>
      <w:bookmarkEnd w:id="21"/>
      <w:r w:rsidRPr="00D2411D">
        <w:rPr>
          <w:color w:val="auto"/>
          <w:lang w:val="es-MX"/>
        </w:rPr>
        <w:t>8. Políticas a Nivel Gerencia Regional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Además de las acciones a nivel sucursal, se establecerán lineamientos operativos por gerencia estatal c</w:t>
      </w:r>
      <w:r w:rsidRPr="00D2411D">
        <w:rPr>
          <w:lang w:val="es-MX"/>
        </w:rPr>
        <w:t>on base en los pronósticos del flujo consolidados para esa gerencia. Esto permitirá una gestión más eficiente del efectivo entre sucursales bajo la misma coordinación operativa.</w:t>
      </w:r>
    </w:p>
    <w:p w:rsidR="00D91749" w:rsidRPr="00D2411D" w:rsidRDefault="00D2411D">
      <w:pPr>
        <w:numPr>
          <w:ilvl w:val="0"/>
          <w:numId w:val="22"/>
        </w:numPr>
        <w:rPr>
          <w:lang w:val="es-MX"/>
        </w:rPr>
      </w:pPr>
      <w:r w:rsidRPr="00D2411D">
        <w:rPr>
          <w:lang w:val="es-MX"/>
        </w:rPr>
        <w:t xml:space="preserve">Si una </w:t>
      </w:r>
      <w:r w:rsidRPr="00D2411D">
        <w:rPr>
          <w:b/>
          <w:bCs/>
          <w:lang w:val="es-MX"/>
        </w:rPr>
        <w:t>gerencia es captadora</w:t>
      </w:r>
      <w:r w:rsidRPr="00D2411D">
        <w:rPr>
          <w:lang w:val="es-MX"/>
        </w:rPr>
        <w:t xml:space="preserve"> (saldo neto positivo agregado entre sus sucursale</w:t>
      </w:r>
      <w:r w:rsidRPr="00D2411D">
        <w:rPr>
          <w:lang w:val="es-MX"/>
        </w:rPr>
        <w:t xml:space="preserve">s), se le solicitará </w:t>
      </w:r>
      <w:r w:rsidRPr="00D2411D">
        <w:rPr>
          <w:b/>
          <w:bCs/>
          <w:lang w:val="es-MX"/>
        </w:rPr>
        <w:t>concentrar los excedentes de efectivo en Tesorería</w:t>
      </w:r>
      <w:r w:rsidRPr="00D2411D">
        <w:rPr>
          <w:lang w:val="es-MX"/>
        </w:rPr>
        <w:t xml:space="preserve"> a través de su cuenta en bancos.</w:t>
      </w:r>
    </w:p>
    <w:p w:rsidR="00D91749" w:rsidRPr="00D2411D" w:rsidRDefault="00D2411D">
      <w:pPr>
        <w:numPr>
          <w:ilvl w:val="0"/>
          <w:numId w:val="22"/>
        </w:numPr>
        <w:rPr>
          <w:lang w:val="es-MX"/>
        </w:rPr>
      </w:pPr>
      <w:r w:rsidRPr="00D2411D">
        <w:rPr>
          <w:lang w:val="es-MX"/>
        </w:rPr>
        <w:t xml:space="preserve">Si una </w:t>
      </w:r>
      <w:r w:rsidRPr="00D2411D">
        <w:rPr>
          <w:b/>
          <w:bCs/>
          <w:lang w:val="es-MX"/>
        </w:rPr>
        <w:t>gerencia regional es pagadora</w:t>
      </w:r>
      <w:r w:rsidRPr="00D2411D">
        <w:rPr>
          <w:lang w:val="es-MX"/>
        </w:rPr>
        <w:t xml:space="preserve"> (saldo neto negativo entre sus sucursales), Tesorería </w:t>
      </w:r>
      <w:r w:rsidRPr="00D2411D">
        <w:rPr>
          <w:b/>
          <w:bCs/>
          <w:lang w:val="es-MX"/>
        </w:rPr>
        <w:t>dispersará recursos desde cuentas centrales vía bancaria</w:t>
      </w:r>
      <w:r w:rsidRPr="00D2411D">
        <w:rPr>
          <w:lang w:val="es-MX"/>
        </w:rPr>
        <w:t xml:space="preserve"> </w:t>
      </w:r>
      <w:r w:rsidRPr="00D2411D">
        <w:rPr>
          <w:lang w:val="es-MX"/>
        </w:rPr>
        <w:t>para cubrir sus requerimientos.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Esta estrategia complementa la operación a nivel sucursal al permitir ajustes agregados que reduzcan traslados físicos innecesarios y mejoren la eficiencia del flujo de caja institucional.</w:t>
      </w:r>
    </w:p>
    <w:p w:rsidR="00D91749" w:rsidRPr="00D2411D" w:rsidRDefault="00D91749">
      <w:pPr>
        <w:rPr>
          <w:lang w:val="es-MX"/>
        </w:rPr>
      </w:pPr>
      <w:bookmarkStart w:id="23" w:name="_GoBack"/>
      <w:bookmarkEnd w:id="23"/>
    </w:p>
    <w:p w:rsidR="00D91749" w:rsidRPr="00D2411D" w:rsidRDefault="00D2411D">
      <w:pPr>
        <w:pStyle w:val="Ttulo3"/>
        <w:rPr>
          <w:color w:val="auto"/>
          <w:lang w:val="es-MX"/>
        </w:rPr>
      </w:pPr>
      <w:bookmarkStart w:id="24" w:name="ejemplo-de-éxito"/>
      <w:bookmarkEnd w:id="22"/>
      <w:r w:rsidRPr="00D2411D">
        <w:rPr>
          <w:color w:val="auto"/>
          <w:lang w:val="es-MX"/>
        </w:rPr>
        <w:lastRenderedPageBreak/>
        <w:t xml:space="preserve">Ejemplo de Éxito 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 xml:space="preserve">Una sucursal </w:t>
      </w:r>
      <w:r w:rsidRPr="00D2411D">
        <w:rPr>
          <w:b/>
          <w:bCs/>
          <w:lang w:val="es-MX"/>
        </w:rPr>
        <w:t>ca</w:t>
      </w:r>
      <w:r w:rsidRPr="00D2411D">
        <w:rPr>
          <w:b/>
          <w:bCs/>
          <w:lang w:val="es-MX"/>
        </w:rPr>
        <w:t>ptadora</w:t>
      </w:r>
      <w:r w:rsidRPr="00D2411D">
        <w:rPr>
          <w:lang w:val="es-MX"/>
        </w:rPr>
        <w:t xml:space="preserve"> clasificada en el </w:t>
      </w:r>
      <w:r w:rsidRPr="00D2411D">
        <w:rPr>
          <w:b/>
          <w:bCs/>
          <w:lang w:val="es-MX"/>
        </w:rPr>
        <w:t>Rango C</w:t>
      </w:r>
      <w:r w:rsidRPr="00D2411D">
        <w:rPr>
          <w:lang w:val="es-MX"/>
        </w:rPr>
        <w:t xml:space="preserve"> (mínimo: $25,000 / máximo: $80,000) tiene un saldo inicial de $40,000. Según el modelo de pronóstico, se espera que durante las próximas dos semanas el flujo neto sea de </w:t>
      </w:r>
      <w:r w:rsidRPr="00D2411D">
        <w:rPr>
          <w:b/>
          <w:bCs/>
          <w:lang w:val="es-MX"/>
        </w:rPr>
        <w:t>+$70,000</w:t>
      </w:r>
      <w:r w:rsidRPr="00D2411D">
        <w:rPr>
          <w:lang w:val="es-MX"/>
        </w:rPr>
        <w:t xml:space="preserve">. Esto implicaría que el saldo al finalizar </w:t>
      </w:r>
      <w:r w:rsidRPr="00D2411D">
        <w:rPr>
          <w:lang w:val="es-MX"/>
        </w:rPr>
        <w:t xml:space="preserve">el periodo sería de </w:t>
      </w:r>
      <w:r w:rsidRPr="00D2411D">
        <w:rPr>
          <w:b/>
          <w:bCs/>
          <w:lang w:val="es-MX"/>
        </w:rPr>
        <w:t>$110,000</w:t>
      </w:r>
      <w:r w:rsidRPr="00D2411D">
        <w:rPr>
          <w:lang w:val="es-MX"/>
        </w:rPr>
        <w:t xml:space="preserve">, lo cual excede el rango máximo permitido en </w:t>
      </w:r>
      <w:r w:rsidRPr="00D2411D">
        <w:rPr>
          <w:b/>
          <w:bCs/>
          <w:lang w:val="es-MX"/>
        </w:rPr>
        <w:t>$30,000</w:t>
      </w:r>
      <w:r w:rsidRPr="00D2411D">
        <w:rPr>
          <w:lang w:val="es-MX"/>
        </w:rPr>
        <w:t xml:space="preserve"> (37.5% por encima del límite superior).</w:t>
      </w:r>
    </w:p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 xml:space="preserve">Sin embargo, dado que confiamos en el modelo de pronóstico, se le recomienda a la sucursal realizar un </w:t>
      </w:r>
      <w:r w:rsidRPr="00D2411D">
        <w:rPr>
          <w:b/>
          <w:bCs/>
          <w:lang w:val="es-MX"/>
        </w:rPr>
        <w:t>único traslado de dispersión al inicio del periodo</w:t>
      </w:r>
      <w:r w:rsidRPr="00D2411D">
        <w:rPr>
          <w:lang w:val="es-MX"/>
        </w:rPr>
        <w:t xml:space="preserve">, por un monto de </w:t>
      </w:r>
      <w:r w:rsidRPr="00D2411D">
        <w:rPr>
          <w:b/>
          <w:bCs/>
          <w:lang w:val="es-MX"/>
        </w:rPr>
        <w:t>$55,000</w:t>
      </w:r>
      <w:r w:rsidRPr="00D2411D">
        <w:rPr>
          <w:lang w:val="es-MX"/>
        </w:rPr>
        <w:t xml:space="preserve">, de forma que su saldo proyectado final se mantenga en el </w:t>
      </w:r>
      <w:r w:rsidRPr="00D2411D">
        <w:rPr>
          <w:b/>
          <w:bCs/>
          <w:lang w:val="es-MX"/>
        </w:rPr>
        <w:t>punto medio del rango</w:t>
      </w:r>
      <w:r w:rsidRPr="00D2411D">
        <w:rPr>
          <w:lang w:val="es-MX"/>
        </w:rPr>
        <w:t xml:space="preserve"> (entre $25,000 y $80,000 → $52,500). Esta decisión reduce el número de traslados y evita excedentes </w:t>
      </w:r>
      <w:r w:rsidRPr="00D2411D">
        <w:rPr>
          <w:lang w:val="es-MX"/>
        </w:rPr>
        <w:t>innecesarios en caja.</w:t>
      </w:r>
    </w:p>
    <w:p w:rsidR="00D91749" w:rsidRPr="00D2411D" w:rsidRDefault="00D2411D">
      <w:pPr>
        <w:pStyle w:val="Ttulo4"/>
        <w:rPr>
          <w:color w:val="auto"/>
          <w:lang w:val="es-MX"/>
        </w:rPr>
      </w:pPr>
      <w:bookmarkStart w:id="25" w:name="documento-de-recomendación-de-traslado"/>
      <w:r w:rsidRPr="00D2411D">
        <w:rPr>
          <w:color w:val="auto"/>
          <w:lang w:val="es-MX"/>
        </w:rPr>
        <w:t>Documento de Recomendación de Traslado</w:t>
      </w:r>
    </w:p>
    <w:p w:rsidR="00D91749" w:rsidRPr="00D2411D" w:rsidRDefault="00D2411D">
      <w:pPr>
        <w:pStyle w:val="FirstParagraph"/>
        <w:rPr>
          <w:lang w:val="es-MX"/>
        </w:rPr>
      </w:pPr>
      <w:r w:rsidRPr="00D2411D">
        <w:rPr>
          <w:lang w:val="es-MX"/>
        </w:rPr>
        <w:t>Cada sucursal recibirá un documento generado por el sistema con los siguientes elementos:</w:t>
      </w:r>
    </w:p>
    <w:tbl>
      <w:tblPr>
        <w:tblStyle w:val="Table"/>
        <w:tblW w:w="45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165"/>
        <w:gridCol w:w="5165"/>
      </w:tblGrid>
      <w:tr w:rsidR="00D2411D" w:rsidRPr="00D2411D" w:rsidTr="00D2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tcW w:w="5165" w:type="dxa"/>
            <w:tcBorders>
              <w:bottom w:val="none" w:sz="0" w:space="0" w:color="auto"/>
            </w:tcBorders>
          </w:tcPr>
          <w:p w:rsidR="00D91749" w:rsidRPr="00D2411D" w:rsidRDefault="00D2411D">
            <w:pPr>
              <w:pStyle w:val="Compact"/>
              <w:rPr>
                <w:b/>
                <w:i/>
                <w:sz w:val="26"/>
                <w:lang w:val="es-MX"/>
              </w:rPr>
            </w:pPr>
            <w:r w:rsidRPr="00D2411D">
              <w:rPr>
                <w:b/>
                <w:i/>
                <w:sz w:val="26"/>
                <w:lang w:val="es-MX"/>
              </w:rPr>
              <w:t>Elemento</w:t>
            </w:r>
          </w:p>
        </w:tc>
        <w:tc>
          <w:tcPr>
            <w:tcW w:w="5165" w:type="dxa"/>
            <w:tcBorders>
              <w:bottom w:val="none" w:sz="0" w:space="0" w:color="auto"/>
            </w:tcBorders>
          </w:tcPr>
          <w:p w:rsidR="00D91749" w:rsidRPr="00D2411D" w:rsidRDefault="00D2411D">
            <w:pPr>
              <w:pStyle w:val="Compact"/>
              <w:rPr>
                <w:b/>
                <w:i/>
                <w:sz w:val="26"/>
                <w:lang w:val="es-MX"/>
              </w:rPr>
            </w:pPr>
            <w:r w:rsidRPr="00D2411D">
              <w:rPr>
                <w:b/>
                <w:i/>
                <w:sz w:val="26"/>
                <w:lang w:val="es-MX"/>
              </w:rPr>
              <w:t>Valor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Nombre de la Sucursal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Sucursal 12003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Tipo de Sucursal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Captadora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Rango Asignado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 (</w:t>
            </w:r>
            <w:proofErr w:type="spellStart"/>
            <w:r w:rsidRPr="00D2411D">
              <w:rPr>
                <w:lang w:val="es-MX"/>
              </w:rPr>
              <w:t>Mín</w:t>
            </w:r>
            <w:proofErr w:type="spellEnd"/>
            <w:r w:rsidRPr="00D2411D">
              <w:rPr>
                <w:lang w:val="es-MX"/>
              </w:rPr>
              <w:t xml:space="preserve">: </w:t>
            </w:r>
            <w:r w:rsidRPr="00D2411D">
              <w:rPr>
                <w:lang w:val="es-MX"/>
              </w:rPr>
              <w:t xml:space="preserve">$25,000 / </w:t>
            </w:r>
            <w:proofErr w:type="spellStart"/>
            <w:r w:rsidRPr="00D2411D">
              <w:rPr>
                <w:lang w:val="es-MX"/>
              </w:rPr>
              <w:t>Máx</w:t>
            </w:r>
            <w:proofErr w:type="spellEnd"/>
            <w:r w:rsidRPr="00D2411D">
              <w:rPr>
                <w:lang w:val="es-MX"/>
              </w:rPr>
              <w:t>: $80,000)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Saldo Inicial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$40,000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Flujo Pronosticado (2 semanas)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+$70,000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Saldo Proyectado al Final del Periodo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$110,000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Desviación del Rango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+$30,000 (37.5%)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Frecuencia Permitida de Traslado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Cada semana o cada 3 días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Acción Recomendada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Dispersión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Monto Recomendado a Dispersar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$55,000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Saldo Final Esperado Post-Traslado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$55,000</w:t>
            </w:r>
          </w:p>
        </w:tc>
      </w:tr>
      <w:tr w:rsidR="00D2411D" w:rsidRPr="00D2411D" w:rsidTr="00D2411D">
        <w:trPr>
          <w:trHeight w:val="454"/>
        </w:trPr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Justificación</w:t>
            </w:r>
          </w:p>
        </w:tc>
        <w:tc>
          <w:tcPr>
            <w:tcW w:w="5165" w:type="dxa"/>
          </w:tcPr>
          <w:p w:rsidR="00D91749" w:rsidRPr="00D2411D" w:rsidRDefault="00D2411D">
            <w:pPr>
              <w:pStyle w:val="Compact"/>
              <w:rPr>
                <w:lang w:val="es-MX"/>
              </w:rPr>
            </w:pPr>
            <w:r w:rsidRPr="00D2411D">
              <w:rPr>
                <w:lang w:val="es-MX"/>
              </w:rPr>
              <w:t>Optimización con base en pronóstico IA para mantener en punto medio del rango</w:t>
            </w:r>
          </w:p>
        </w:tc>
      </w:tr>
    </w:tbl>
    <w:p w:rsidR="00D91749" w:rsidRPr="00D2411D" w:rsidRDefault="00D2411D">
      <w:pPr>
        <w:pStyle w:val="Textoindependiente"/>
        <w:rPr>
          <w:lang w:val="es-MX"/>
        </w:rPr>
      </w:pPr>
      <w:r w:rsidRPr="00D2411D">
        <w:rPr>
          <w:lang w:val="es-MX"/>
        </w:rPr>
        <w:t>Este enfoque mejora la eficiencia operativa y disminuye la necesidad</w:t>
      </w:r>
      <w:r w:rsidRPr="00D2411D">
        <w:rPr>
          <w:lang w:val="es-MX"/>
        </w:rPr>
        <w:t xml:space="preserve"> de múltiples traslados, alineando las decisiones con el modelo de inteligencia artificial implementado.</w:t>
      </w:r>
    </w:p>
    <w:p w:rsidR="00D91749" w:rsidRPr="00D2411D" w:rsidRDefault="00D2411D">
      <w:pPr>
        <w:rPr>
          <w:lang w:val="es-MX"/>
        </w:rPr>
      </w:pPr>
      <w:r w:rsidRPr="00D2411D">
        <w:rPr>
          <w:lang w:val="es-MX"/>
        </w:rPr>
        <w:pict>
          <v:rect id="_x0000_i1563" style="width:0;height:1.5pt" o:hralign="center" o:hrstd="t" o:hr="t"/>
        </w:pict>
      </w:r>
    </w:p>
    <w:p w:rsidR="00D91749" w:rsidRPr="00D2411D" w:rsidRDefault="00D2411D">
      <w:pPr>
        <w:pStyle w:val="Ttulo3"/>
        <w:rPr>
          <w:color w:val="auto"/>
          <w:lang w:val="es-MX"/>
        </w:rPr>
      </w:pPr>
      <w:bookmarkStart w:id="26" w:name="implementación-recomendada"/>
      <w:bookmarkEnd w:id="24"/>
      <w:bookmarkEnd w:id="25"/>
      <w:r w:rsidRPr="00D2411D">
        <w:rPr>
          <w:color w:val="auto"/>
          <w:lang w:val="es-MX"/>
        </w:rPr>
        <w:t>9. Implementación Recomendada</w:t>
      </w:r>
    </w:p>
    <w:p w:rsidR="00D91749" w:rsidRPr="00D2411D" w:rsidRDefault="00D2411D">
      <w:pPr>
        <w:pStyle w:val="Compact"/>
        <w:numPr>
          <w:ilvl w:val="0"/>
          <w:numId w:val="23"/>
        </w:numPr>
        <w:rPr>
          <w:lang w:val="es-MX"/>
        </w:rPr>
      </w:pPr>
      <w:r w:rsidRPr="00D2411D">
        <w:rPr>
          <w:b/>
          <w:bCs/>
          <w:lang w:val="es-MX"/>
        </w:rPr>
        <w:t>Fase 1:</w:t>
      </w:r>
      <w:r w:rsidRPr="00D2411D">
        <w:rPr>
          <w:lang w:val="es-MX"/>
        </w:rPr>
        <w:t xml:space="preserve"> Reclasificar todas las sucursales usando el Tamaño del Flujo e Índice de Actividad.</w:t>
      </w:r>
    </w:p>
    <w:p w:rsidR="00D91749" w:rsidRPr="00D2411D" w:rsidRDefault="00D2411D">
      <w:pPr>
        <w:pStyle w:val="Compact"/>
        <w:numPr>
          <w:ilvl w:val="0"/>
          <w:numId w:val="23"/>
        </w:numPr>
        <w:rPr>
          <w:lang w:val="es-MX"/>
        </w:rPr>
      </w:pPr>
      <w:r w:rsidRPr="00D2411D">
        <w:rPr>
          <w:b/>
          <w:bCs/>
          <w:lang w:val="es-MX"/>
        </w:rPr>
        <w:t>Fase 2:</w:t>
      </w:r>
      <w:r w:rsidRPr="00D2411D">
        <w:rPr>
          <w:lang w:val="es-MX"/>
        </w:rPr>
        <w:t xml:space="preserve"> </w:t>
      </w:r>
      <w:r w:rsidRPr="00D2411D">
        <w:rPr>
          <w:lang w:val="es-MX"/>
        </w:rPr>
        <w:t>Ajustar los mínimos/máximos de los 5 rangos con datos históricos.</w:t>
      </w:r>
    </w:p>
    <w:p w:rsidR="00D91749" w:rsidRPr="00D2411D" w:rsidRDefault="00D2411D">
      <w:pPr>
        <w:pStyle w:val="Compact"/>
        <w:numPr>
          <w:ilvl w:val="0"/>
          <w:numId w:val="23"/>
        </w:numPr>
        <w:rPr>
          <w:lang w:val="es-MX"/>
        </w:rPr>
      </w:pPr>
      <w:r w:rsidRPr="00D2411D">
        <w:rPr>
          <w:b/>
          <w:bCs/>
          <w:lang w:val="es-MX"/>
        </w:rPr>
        <w:t>Fase 3:</w:t>
      </w:r>
      <w:r w:rsidRPr="00D2411D">
        <w:rPr>
          <w:lang w:val="es-MX"/>
        </w:rPr>
        <w:t xml:space="preserve"> Integrar con el modelo predictivo para automatizar decisiones.</w:t>
      </w:r>
    </w:p>
    <w:bookmarkEnd w:id="0"/>
    <w:bookmarkEnd w:id="26"/>
    <w:p w:rsidR="00D2411D" w:rsidRPr="00D2411D" w:rsidRDefault="00D2411D" w:rsidP="00D2411D">
      <w:pPr>
        <w:pStyle w:val="Compact"/>
        <w:ind w:left="720"/>
      </w:pPr>
    </w:p>
    <w:sectPr w:rsidR="00D2411D" w:rsidRPr="00D2411D" w:rsidSect="00D2411D">
      <w:footnotePr>
        <w:numRestart w:val="eachSect"/>
      </w:footnotePr>
      <w:pgSz w:w="12240" w:h="15840"/>
      <w:pgMar w:top="680" w:right="567" w:bottom="6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6B469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D4C28B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1483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D91749"/>
    <w:rsid w:val="00D2411D"/>
    <w:rsid w:val="00D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18FB"/>
  <w15:docId w15:val="{E07E5417-7234-4288-AB3C-FF673D1B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2413</Words>
  <Characters>13277</Characters>
  <Application>Microsoft Office Word</Application>
  <DocSecurity>0</DocSecurity>
  <Lines>110</Lines>
  <Paragraphs>31</Paragraphs>
  <ScaleCrop>false</ScaleCrop>
  <Company>HP Inc.</Company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Jose Luis Flores Garcia</cp:lastModifiedBy>
  <cp:revision>2</cp:revision>
  <dcterms:created xsi:type="dcterms:W3CDTF">2025-07-25T19:20:00Z</dcterms:created>
  <dcterms:modified xsi:type="dcterms:W3CDTF">2025-07-25T19:25:00Z</dcterms:modified>
</cp:coreProperties>
</file>