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63715" w14:textId="77777777" w:rsidR="00D26288" w:rsidRPr="00D26288" w:rsidRDefault="00D26288" w:rsidP="00D26288">
      <w:pPr>
        <w:jc w:val="both"/>
        <w:rPr>
          <w:color w:val="7030A0"/>
          <w:sz w:val="36"/>
          <w:szCs w:val="36"/>
        </w:rPr>
      </w:pPr>
      <w:r w:rsidRPr="00D26288">
        <w:rPr>
          <w:b/>
          <w:bCs/>
          <w:color w:val="7030A0"/>
          <w:sz w:val="36"/>
          <w:szCs w:val="36"/>
        </w:rPr>
        <w:t>Creating Dashboard in Tableau</w:t>
      </w:r>
    </w:p>
    <w:p w14:paraId="0C6C2841" w14:textId="77777777" w:rsidR="00D26288" w:rsidRPr="00D26288" w:rsidRDefault="00D26288" w:rsidP="00D26288">
      <w:pPr>
        <w:jc w:val="both"/>
      </w:pPr>
    </w:p>
    <w:p w14:paraId="38234808" w14:textId="30592A8A" w:rsidR="00D26288" w:rsidRPr="00D26288" w:rsidRDefault="00D26288" w:rsidP="00D26288">
      <w:pPr>
        <w:jc w:val="both"/>
      </w:pPr>
      <w:r w:rsidRPr="00D26288">
        <w:rPr>
          <w:b/>
          <w:bCs/>
          <w:u w:val="single"/>
        </w:rPr>
        <w:t>Overview:</w:t>
      </w:r>
      <w:r w:rsidRPr="00D26288">
        <w:br/>
      </w:r>
    </w:p>
    <w:p w14:paraId="3C8F1F9E" w14:textId="77777777" w:rsidR="00D26288" w:rsidRPr="00D26288" w:rsidRDefault="00D26288" w:rsidP="00D26288">
      <w:pPr>
        <w:numPr>
          <w:ilvl w:val="0"/>
          <w:numId w:val="3"/>
        </w:numPr>
        <w:jc w:val="both"/>
      </w:pPr>
      <w:r w:rsidRPr="00D26288">
        <w:t>The dashboard serves as a visual, interactive interface that provides users with an overview of the data. By leveraging dashboards, business owners can make quicker, more informed decisions. </w:t>
      </w:r>
    </w:p>
    <w:p w14:paraId="59BCB987" w14:textId="77777777" w:rsidR="00D26288" w:rsidRPr="00D26288" w:rsidRDefault="00D26288" w:rsidP="00D26288">
      <w:pPr>
        <w:numPr>
          <w:ilvl w:val="0"/>
          <w:numId w:val="4"/>
        </w:numPr>
        <w:jc w:val="both"/>
      </w:pPr>
      <w:r w:rsidRPr="00D26288">
        <w:t>In this project, we will analyse the 'Health_Survey' dataset from the World Health Organisation (WHO), focusing on cancer rates between 1990 and 2008. The goal is to identify trends and key insights that could be valuable for organisations in planning future initiatives. </w:t>
      </w:r>
    </w:p>
    <w:p w14:paraId="382654AC" w14:textId="5BAA0CFE" w:rsidR="00D26288" w:rsidRPr="00D26288" w:rsidRDefault="00D26288" w:rsidP="00D26288">
      <w:pPr>
        <w:numPr>
          <w:ilvl w:val="0"/>
          <w:numId w:val="5"/>
        </w:numPr>
        <w:jc w:val="both"/>
      </w:pPr>
      <w:r w:rsidRPr="00D26288">
        <w:t>The dashboard will highlight crucial data patterns and trends that can aid decision-making within the NHS. As data continues to play an increasingly critical role, it is being utili</w:t>
      </w:r>
      <w:r w:rsidR="0038063A">
        <w:t>s</w:t>
      </w:r>
      <w:r w:rsidRPr="00D26288">
        <w:t>ed more within the NHS to drive impactful, lifesaving decisions. </w:t>
      </w:r>
    </w:p>
    <w:p w14:paraId="318B2227" w14:textId="77777777" w:rsidR="00D26288" w:rsidRPr="00D26288" w:rsidRDefault="00D26288" w:rsidP="00D26288">
      <w:pPr>
        <w:jc w:val="both"/>
      </w:pPr>
    </w:p>
    <w:p w14:paraId="41A9F993" w14:textId="77777777" w:rsidR="00D26288" w:rsidRPr="00D26288" w:rsidRDefault="00D26288" w:rsidP="00D26288">
      <w:pPr>
        <w:jc w:val="both"/>
      </w:pPr>
      <w:r w:rsidRPr="00D26288">
        <w:rPr>
          <w:b/>
          <w:bCs/>
        </w:rPr>
        <w:t xml:space="preserve">Please download the ‘Health_Survey’ dataset from </w:t>
      </w:r>
      <w:hyperlink r:id="rId8" w:history="1">
        <w:r w:rsidRPr="00D26288">
          <w:rPr>
            <w:rStyle w:val="Hyperlink"/>
            <w:b/>
            <w:bCs/>
          </w:rPr>
          <w:t>here</w:t>
        </w:r>
      </w:hyperlink>
      <w:r w:rsidRPr="00D26288">
        <w:rPr>
          <w:b/>
          <w:bCs/>
        </w:rPr>
        <w:t>. </w:t>
      </w:r>
    </w:p>
    <w:p w14:paraId="30D85A37" w14:textId="77777777" w:rsidR="00D26288" w:rsidRPr="00D26288" w:rsidRDefault="00D26288" w:rsidP="00D26288">
      <w:pPr>
        <w:jc w:val="both"/>
      </w:pPr>
    </w:p>
    <w:p w14:paraId="7709B357" w14:textId="77777777" w:rsidR="00D26288" w:rsidRPr="00D26288" w:rsidRDefault="00D26288" w:rsidP="00D26288">
      <w:pPr>
        <w:jc w:val="both"/>
      </w:pPr>
      <w:r w:rsidRPr="00D26288">
        <w:rPr>
          <w:b/>
          <w:bCs/>
          <w:u w:val="single"/>
        </w:rPr>
        <w:t>Procedure:</w:t>
      </w:r>
    </w:p>
    <w:p w14:paraId="4A31F5C2" w14:textId="1F42B9AD" w:rsidR="00D26288" w:rsidRPr="00D26288" w:rsidRDefault="00D26288" w:rsidP="00D26288">
      <w:pPr>
        <w:jc w:val="both"/>
      </w:pPr>
      <w:r w:rsidRPr="00D26288">
        <w:t>We created various sheets</w:t>
      </w:r>
      <w:r w:rsidR="00C17AD7">
        <w:t xml:space="preserve"> in Tableau</w:t>
      </w:r>
      <w:r w:rsidRPr="00D26288">
        <w:t xml:space="preserve"> to display different visualisations, which were then combined into a cohesive dashboard for easy analysis.</w:t>
      </w:r>
    </w:p>
    <w:p w14:paraId="79ADF5B4" w14:textId="77777777" w:rsidR="00D26288" w:rsidRPr="00D26288" w:rsidRDefault="00D26288" w:rsidP="00D26288">
      <w:pPr>
        <w:numPr>
          <w:ilvl w:val="0"/>
          <w:numId w:val="6"/>
        </w:numPr>
        <w:jc w:val="both"/>
      </w:pPr>
      <w:r w:rsidRPr="00D26288">
        <w:t xml:space="preserve">A </w:t>
      </w:r>
      <w:r w:rsidRPr="00D26288">
        <w:rPr>
          <w:b/>
          <w:bCs/>
        </w:rPr>
        <w:t>heatmap</w:t>
      </w:r>
      <w:r w:rsidRPr="00D26288">
        <w:t xml:space="preserve"> was used to visualise the Global Health Indicators for the year 2003, providing a color-coded representation of health data across regions.</w:t>
      </w:r>
    </w:p>
    <w:p w14:paraId="21B7FF9E" w14:textId="77777777" w:rsidR="00D26288" w:rsidRPr="00D26288" w:rsidRDefault="00D26288" w:rsidP="00D26288">
      <w:pPr>
        <w:numPr>
          <w:ilvl w:val="0"/>
          <w:numId w:val="7"/>
        </w:numPr>
        <w:jc w:val="both"/>
      </w:pPr>
      <w:r w:rsidRPr="00D26288">
        <w:t xml:space="preserve">A </w:t>
      </w:r>
      <w:r w:rsidRPr="00D26288">
        <w:rPr>
          <w:b/>
          <w:bCs/>
        </w:rPr>
        <w:t>bar chart</w:t>
      </w:r>
      <w:r w:rsidRPr="00D26288">
        <w:t xml:space="preserve"> was implemented to display cancer rates, allowing for a clear comparison of the data across different countries or regions.</w:t>
      </w:r>
    </w:p>
    <w:p w14:paraId="2AD60261" w14:textId="77777777" w:rsidR="00D26288" w:rsidRPr="00D26288" w:rsidRDefault="00D26288" w:rsidP="00D26288">
      <w:pPr>
        <w:numPr>
          <w:ilvl w:val="0"/>
          <w:numId w:val="8"/>
        </w:numPr>
        <w:jc w:val="both"/>
      </w:pPr>
      <w:r w:rsidRPr="00D26288">
        <w:rPr>
          <w:b/>
          <w:bCs/>
        </w:rPr>
        <w:t>Scatter plots</w:t>
      </w:r>
      <w:r w:rsidRPr="00D26288">
        <w:t xml:space="preserve"> were utilized to explore the relationship between BMI and life expectancy, helping to identify any correlations or patterns.</w:t>
      </w:r>
    </w:p>
    <w:p w14:paraId="6F25FCA1" w14:textId="77777777" w:rsidR="00D26288" w:rsidRPr="00D26288" w:rsidRDefault="00D26288" w:rsidP="00D26288">
      <w:pPr>
        <w:numPr>
          <w:ilvl w:val="0"/>
          <w:numId w:val="9"/>
        </w:numPr>
        <w:jc w:val="both"/>
      </w:pPr>
      <w:r w:rsidRPr="00D26288">
        <w:t xml:space="preserve">A </w:t>
      </w:r>
      <w:r w:rsidRPr="00D26288">
        <w:rPr>
          <w:b/>
          <w:bCs/>
        </w:rPr>
        <w:t>stacked bar chart</w:t>
      </w:r>
      <w:r w:rsidRPr="00D26288">
        <w:t xml:space="preserve"> was used to compare gender-based differences in health outcomes and life expectancy, offering insights into disparities between males and females.</w:t>
      </w:r>
    </w:p>
    <w:p w14:paraId="1F59B1F0" w14:textId="77777777" w:rsidR="00D26288" w:rsidRPr="00D26288" w:rsidRDefault="00D26288" w:rsidP="00D26288">
      <w:pPr>
        <w:numPr>
          <w:ilvl w:val="0"/>
          <w:numId w:val="10"/>
        </w:numPr>
        <w:jc w:val="both"/>
      </w:pPr>
      <w:r w:rsidRPr="00D26288">
        <w:t xml:space="preserve">A </w:t>
      </w:r>
      <w:r w:rsidRPr="00D26288">
        <w:rPr>
          <w:b/>
          <w:bCs/>
        </w:rPr>
        <w:t>line chart</w:t>
      </w:r>
      <w:r w:rsidRPr="00D26288">
        <w:t xml:space="preserve"> was included to visualise population growth across continents from 1990 to 2008, providing a temporal perspective on demographic changes.</w:t>
      </w:r>
    </w:p>
    <w:p w14:paraId="4F0C0AFF" w14:textId="77777777" w:rsidR="00D26288" w:rsidRDefault="00D26288" w:rsidP="00D26288">
      <w:pPr>
        <w:jc w:val="both"/>
      </w:pPr>
      <w:r w:rsidRPr="00D26288">
        <w:t>The dashboard is designed with high customisability in mind, allowing users to easily add or modify charts and tables to reflect specific changes in the data. It contains a variety of visualisations, such as heatmaps, bar charts, scatter plots, and line charts, that collectively present key insights into global cancer rates. This design makes it simple to spot trends over time, identify patterns in risk factors, and explore the broader health landscape across different regions.</w:t>
      </w:r>
    </w:p>
    <w:p w14:paraId="231FC4BB" w14:textId="77777777" w:rsidR="00D26288" w:rsidRPr="00D26288" w:rsidRDefault="00D26288" w:rsidP="00D26288">
      <w:pPr>
        <w:jc w:val="both"/>
      </w:pPr>
    </w:p>
    <w:p w14:paraId="1C0EA511" w14:textId="77777777" w:rsidR="00D26288" w:rsidRPr="00D26288" w:rsidRDefault="00D26288" w:rsidP="00D26288">
      <w:pPr>
        <w:jc w:val="both"/>
      </w:pPr>
      <w:r w:rsidRPr="00D26288">
        <w:rPr>
          <w:b/>
          <w:bCs/>
          <w:u w:val="single"/>
        </w:rPr>
        <w:t>Key Findings:</w:t>
      </w:r>
    </w:p>
    <w:p w14:paraId="78DF3B23" w14:textId="77777777" w:rsidR="00D26288" w:rsidRPr="00D26288" w:rsidRDefault="00D26288" w:rsidP="00D26288">
      <w:pPr>
        <w:numPr>
          <w:ilvl w:val="0"/>
          <w:numId w:val="11"/>
        </w:numPr>
        <w:jc w:val="both"/>
      </w:pPr>
      <w:r w:rsidRPr="00D26288">
        <w:rPr>
          <w:b/>
          <w:bCs/>
        </w:rPr>
        <w:t>Africa</w:t>
      </w:r>
      <w:r w:rsidRPr="00D26288">
        <w:t xml:space="preserve"> has a lower life expectancy compared to other continents.</w:t>
      </w:r>
    </w:p>
    <w:p w14:paraId="26ECB63C" w14:textId="77777777" w:rsidR="00D26288" w:rsidRPr="00D26288" w:rsidRDefault="00D26288" w:rsidP="00D26288">
      <w:pPr>
        <w:numPr>
          <w:ilvl w:val="0"/>
          <w:numId w:val="12"/>
        </w:numPr>
        <w:jc w:val="both"/>
      </w:pPr>
      <w:r w:rsidRPr="00D26288">
        <w:t xml:space="preserve">In </w:t>
      </w:r>
      <w:r w:rsidRPr="00D26288">
        <w:rPr>
          <w:b/>
          <w:bCs/>
        </w:rPr>
        <w:t>Asia</w:t>
      </w:r>
      <w:r w:rsidRPr="00D26288">
        <w:t xml:space="preserve">, the average life expectancy increased the most from </w:t>
      </w:r>
      <w:r w:rsidRPr="00D26288">
        <w:rPr>
          <w:b/>
          <w:bCs/>
        </w:rPr>
        <w:t>65</w:t>
      </w:r>
      <w:r w:rsidRPr="00D26288">
        <w:t xml:space="preserve"> in 1990 to </w:t>
      </w:r>
      <w:r w:rsidRPr="00D26288">
        <w:rPr>
          <w:b/>
          <w:bCs/>
        </w:rPr>
        <w:t>71</w:t>
      </w:r>
      <w:r w:rsidRPr="00D26288">
        <w:t xml:space="preserve"> in 2008.</w:t>
      </w:r>
    </w:p>
    <w:p w14:paraId="6217F3D6" w14:textId="77777777" w:rsidR="00D26288" w:rsidRPr="00D26288" w:rsidRDefault="00D26288" w:rsidP="00D26288">
      <w:pPr>
        <w:numPr>
          <w:ilvl w:val="0"/>
          <w:numId w:val="13"/>
        </w:numPr>
        <w:jc w:val="both"/>
      </w:pPr>
      <w:r w:rsidRPr="00D26288">
        <w:lastRenderedPageBreak/>
        <w:t xml:space="preserve">The average </w:t>
      </w:r>
      <w:r w:rsidRPr="00D26288">
        <w:rPr>
          <w:b/>
          <w:bCs/>
        </w:rPr>
        <w:t>BMI</w:t>
      </w:r>
      <w:r w:rsidRPr="00D26288">
        <w:t xml:space="preserve"> falls between </w:t>
      </w:r>
      <w:r w:rsidRPr="00D26288">
        <w:rPr>
          <w:b/>
          <w:bCs/>
        </w:rPr>
        <w:t>24 and 28</w:t>
      </w:r>
      <w:r w:rsidRPr="00D26288">
        <w:t>, which is associated with a higher life expectancy.</w:t>
      </w:r>
    </w:p>
    <w:p w14:paraId="4BF242FD" w14:textId="77777777" w:rsidR="00D26288" w:rsidRPr="00D26288" w:rsidRDefault="00D26288" w:rsidP="00D26288">
      <w:pPr>
        <w:numPr>
          <w:ilvl w:val="0"/>
          <w:numId w:val="14"/>
        </w:numPr>
        <w:jc w:val="both"/>
      </w:pPr>
      <w:r w:rsidRPr="00D26288">
        <w:rPr>
          <w:b/>
          <w:bCs/>
        </w:rPr>
        <w:t>China</w:t>
      </w:r>
      <w:r w:rsidRPr="00D26288">
        <w:t xml:space="preserve"> has the highest number of cancer patients, followed by the </w:t>
      </w:r>
      <w:r w:rsidRPr="00D26288">
        <w:rPr>
          <w:b/>
          <w:bCs/>
        </w:rPr>
        <w:t>United States</w:t>
      </w:r>
      <w:r w:rsidRPr="00D26288">
        <w:t>. However, it's important to note that China has the largest population in the world.</w:t>
      </w:r>
    </w:p>
    <w:p w14:paraId="2800D37B" w14:textId="77777777" w:rsidR="00D26288" w:rsidRPr="00D26288" w:rsidRDefault="00D26288" w:rsidP="00D26288">
      <w:pPr>
        <w:numPr>
          <w:ilvl w:val="0"/>
          <w:numId w:val="15"/>
        </w:numPr>
        <w:jc w:val="both"/>
      </w:pPr>
      <w:r w:rsidRPr="00D26288">
        <w:t xml:space="preserve">Between </w:t>
      </w:r>
      <w:r w:rsidRPr="00D26288">
        <w:rPr>
          <w:b/>
          <w:bCs/>
        </w:rPr>
        <w:t>1994 and 2003</w:t>
      </w:r>
      <w:r w:rsidRPr="00D26288">
        <w:t>, Asia’s population growth significantly declined, while Africa’s population growth saw a substantial increase during the same period.</w:t>
      </w:r>
    </w:p>
    <w:p w14:paraId="01801FC8" w14:textId="77777777" w:rsidR="00D26288" w:rsidRDefault="00D26288" w:rsidP="00D26288">
      <w:pPr>
        <w:numPr>
          <w:ilvl w:val="0"/>
          <w:numId w:val="16"/>
        </w:numPr>
        <w:jc w:val="both"/>
      </w:pPr>
      <w:r w:rsidRPr="00D26288">
        <w:t xml:space="preserve">On a global scale, </w:t>
      </w:r>
      <w:r w:rsidRPr="00D26288">
        <w:rPr>
          <w:b/>
          <w:bCs/>
        </w:rPr>
        <w:t>men's life expectancy</w:t>
      </w:r>
      <w:r w:rsidRPr="00D26288">
        <w:t xml:space="preserve"> is higher than </w:t>
      </w:r>
      <w:r w:rsidRPr="00D26288">
        <w:rPr>
          <w:b/>
          <w:bCs/>
        </w:rPr>
        <w:t>women's</w:t>
      </w:r>
      <w:r w:rsidRPr="00D26288">
        <w:t>.</w:t>
      </w:r>
    </w:p>
    <w:p w14:paraId="2598A9C3" w14:textId="77777777" w:rsidR="00D26288" w:rsidRDefault="00D26288" w:rsidP="00D26288">
      <w:pPr>
        <w:numPr>
          <w:ilvl w:val="0"/>
          <w:numId w:val="16"/>
        </w:numPr>
        <w:jc w:val="both"/>
      </w:pPr>
      <w:r w:rsidRPr="00D26288">
        <w:rPr>
          <w:b/>
          <w:bCs/>
        </w:rPr>
        <w:t>Japan</w:t>
      </w:r>
      <w:r w:rsidRPr="00D26288">
        <w:t xml:space="preserve"> has the highest average life expectancy at </w:t>
      </w:r>
      <w:r w:rsidRPr="00D26288">
        <w:rPr>
          <w:b/>
          <w:bCs/>
        </w:rPr>
        <w:t>82.65</w:t>
      </w:r>
      <w:r w:rsidRPr="00D26288">
        <w:t xml:space="preserve">, while the </w:t>
      </w:r>
      <w:r w:rsidRPr="00D26288">
        <w:rPr>
          <w:b/>
          <w:bCs/>
        </w:rPr>
        <w:t>Central African Republic</w:t>
      </w:r>
      <w:r w:rsidRPr="00D26288">
        <w:t xml:space="preserve"> shows the lowest at </w:t>
      </w:r>
      <w:r w:rsidRPr="00D26288">
        <w:rPr>
          <w:b/>
          <w:bCs/>
        </w:rPr>
        <w:t>46.20</w:t>
      </w:r>
      <w:r w:rsidRPr="00D26288">
        <w:t>, nearly half the figure of Japan.</w:t>
      </w:r>
    </w:p>
    <w:p w14:paraId="069538B8" w14:textId="77777777" w:rsidR="00D26288" w:rsidRDefault="00D26288" w:rsidP="00D26288"/>
    <w:p w14:paraId="11FA4455" w14:textId="4CC89EAF" w:rsidR="00575F4F" w:rsidRDefault="00575F4F" w:rsidP="00575F4F">
      <w:r w:rsidRPr="00B753C3">
        <w:rPr>
          <w:rStyle w:val="ANSWERS"/>
          <w:rFonts w:asciiTheme="minorHAnsi" w:hAnsiTheme="minorHAnsi" w:cstheme="minorBidi"/>
          <w:noProof/>
          <w:sz w:val="28"/>
          <w:szCs w:val="28"/>
        </w:rPr>
        <w:drawing>
          <wp:inline distT="0" distB="0" distL="0" distR="0" wp14:anchorId="1690CB01" wp14:editId="1C7843AA">
            <wp:extent cx="5781675" cy="6457950"/>
            <wp:effectExtent l="0" t="0" r="9525" b="0"/>
            <wp:docPr id="149463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339" name="Picture 1" descr="A screenshot of a computer screen&#10;&#10;AI-generated content may be incorrect."/>
                    <pic:cNvPicPr/>
                  </pic:nvPicPr>
                  <pic:blipFill>
                    <a:blip r:embed="rId9"/>
                    <a:stretch>
                      <a:fillRect/>
                    </a:stretch>
                  </pic:blipFill>
                  <pic:spPr>
                    <a:xfrm>
                      <a:off x="0" y="0"/>
                      <a:ext cx="5806961" cy="6486194"/>
                    </a:xfrm>
                    <a:prstGeom prst="rect">
                      <a:avLst/>
                    </a:prstGeom>
                  </pic:spPr>
                </pic:pic>
              </a:graphicData>
            </a:graphic>
          </wp:inline>
        </w:drawing>
      </w:r>
    </w:p>
    <w:sectPr w:rsidR="00575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4A7F"/>
    <w:multiLevelType w:val="multilevel"/>
    <w:tmpl w:val="55E6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1AE1"/>
    <w:multiLevelType w:val="multilevel"/>
    <w:tmpl w:val="B5DA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939E2"/>
    <w:multiLevelType w:val="hybridMultilevel"/>
    <w:tmpl w:val="10284348"/>
    <w:lvl w:ilvl="0" w:tplc="92C626EA">
      <w:start w:val="1"/>
      <w:numFmt w:val="bullet"/>
      <w:lvlText w:val=""/>
      <w:lvlJc w:val="left"/>
      <w:pPr>
        <w:ind w:left="720" w:hanging="360"/>
      </w:pPr>
      <w:rPr>
        <w:rFonts w:ascii="Symbol" w:hAnsi="Symbol" w:hint="default"/>
      </w:rPr>
    </w:lvl>
    <w:lvl w:ilvl="1" w:tplc="3DD6B394">
      <w:start w:val="1"/>
      <w:numFmt w:val="bullet"/>
      <w:lvlText w:val="o"/>
      <w:lvlJc w:val="left"/>
      <w:pPr>
        <w:ind w:left="1440" w:hanging="360"/>
      </w:pPr>
      <w:rPr>
        <w:rFonts w:ascii="Courier New" w:hAnsi="Courier New" w:hint="default"/>
      </w:rPr>
    </w:lvl>
    <w:lvl w:ilvl="2" w:tplc="C1043730">
      <w:start w:val="1"/>
      <w:numFmt w:val="bullet"/>
      <w:lvlText w:val=""/>
      <w:lvlJc w:val="left"/>
      <w:pPr>
        <w:ind w:left="2160" w:hanging="360"/>
      </w:pPr>
      <w:rPr>
        <w:rFonts w:ascii="Wingdings" w:hAnsi="Wingdings" w:hint="default"/>
      </w:rPr>
    </w:lvl>
    <w:lvl w:ilvl="3" w:tplc="9CBA2AD0">
      <w:start w:val="1"/>
      <w:numFmt w:val="bullet"/>
      <w:lvlText w:val=""/>
      <w:lvlJc w:val="left"/>
      <w:pPr>
        <w:ind w:left="2880" w:hanging="360"/>
      </w:pPr>
      <w:rPr>
        <w:rFonts w:ascii="Symbol" w:hAnsi="Symbol" w:hint="default"/>
      </w:rPr>
    </w:lvl>
    <w:lvl w:ilvl="4" w:tplc="FC9C8F7A">
      <w:start w:val="1"/>
      <w:numFmt w:val="bullet"/>
      <w:lvlText w:val="o"/>
      <w:lvlJc w:val="left"/>
      <w:pPr>
        <w:ind w:left="3600" w:hanging="360"/>
      </w:pPr>
      <w:rPr>
        <w:rFonts w:ascii="Courier New" w:hAnsi="Courier New" w:hint="default"/>
      </w:rPr>
    </w:lvl>
    <w:lvl w:ilvl="5" w:tplc="9E5CBA2A">
      <w:start w:val="1"/>
      <w:numFmt w:val="bullet"/>
      <w:lvlText w:val=""/>
      <w:lvlJc w:val="left"/>
      <w:pPr>
        <w:ind w:left="4320" w:hanging="360"/>
      </w:pPr>
      <w:rPr>
        <w:rFonts w:ascii="Wingdings" w:hAnsi="Wingdings" w:hint="default"/>
      </w:rPr>
    </w:lvl>
    <w:lvl w:ilvl="6" w:tplc="75D61C68">
      <w:start w:val="1"/>
      <w:numFmt w:val="bullet"/>
      <w:lvlText w:val=""/>
      <w:lvlJc w:val="left"/>
      <w:pPr>
        <w:ind w:left="5040" w:hanging="360"/>
      </w:pPr>
      <w:rPr>
        <w:rFonts w:ascii="Symbol" w:hAnsi="Symbol" w:hint="default"/>
      </w:rPr>
    </w:lvl>
    <w:lvl w:ilvl="7" w:tplc="362EF94A">
      <w:start w:val="1"/>
      <w:numFmt w:val="bullet"/>
      <w:lvlText w:val="o"/>
      <w:lvlJc w:val="left"/>
      <w:pPr>
        <w:ind w:left="5760" w:hanging="360"/>
      </w:pPr>
      <w:rPr>
        <w:rFonts w:ascii="Courier New" w:hAnsi="Courier New" w:hint="default"/>
      </w:rPr>
    </w:lvl>
    <w:lvl w:ilvl="8" w:tplc="14822E42">
      <w:start w:val="1"/>
      <w:numFmt w:val="bullet"/>
      <w:lvlText w:val=""/>
      <w:lvlJc w:val="left"/>
      <w:pPr>
        <w:ind w:left="6480" w:hanging="360"/>
      </w:pPr>
      <w:rPr>
        <w:rFonts w:ascii="Wingdings" w:hAnsi="Wingdings" w:hint="default"/>
      </w:rPr>
    </w:lvl>
  </w:abstractNum>
  <w:abstractNum w:abstractNumId="3" w15:restartNumberingAfterBreak="0">
    <w:nsid w:val="165D1B63"/>
    <w:multiLevelType w:val="multilevel"/>
    <w:tmpl w:val="D154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47C62"/>
    <w:multiLevelType w:val="multilevel"/>
    <w:tmpl w:val="F8BC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384138">
    <w:abstractNumId w:val="2"/>
  </w:num>
  <w:num w:numId="2" w16cid:durableId="1946384924">
    <w:abstractNumId w:val="1"/>
  </w:num>
  <w:num w:numId="3" w16cid:durableId="28674145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16cid:durableId="60496300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16cid:durableId="69010885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16cid:durableId="96589189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213308998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149969000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86529070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16cid:durableId="42507586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16cid:durableId="86686900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88914820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112377331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16cid:durableId="29375769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5" w16cid:durableId="76018139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16cid:durableId="11029465">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2C"/>
    <w:rsid w:val="000E6425"/>
    <w:rsid w:val="00106C80"/>
    <w:rsid w:val="0038063A"/>
    <w:rsid w:val="00575F4F"/>
    <w:rsid w:val="008676BF"/>
    <w:rsid w:val="00907AFA"/>
    <w:rsid w:val="0095769A"/>
    <w:rsid w:val="00A44D1D"/>
    <w:rsid w:val="00A51310"/>
    <w:rsid w:val="00AC502C"/>
    <w:rsid w:val="00B0645F"/>
    <w:rsid w:val="00C17AD7"/>
    <w:rsid w:val="00C63D97"/>
    <w:rsid w:val="00CB13DD"/>
    <w:rsid w:val="00D26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72AD"/>
  <w15:chartTrackingRefBased/>
  <w15:docId w15:val="{48B42D1F-8EB3-4D60-AFD4-E83C425B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C502C"/>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AC50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50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50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50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50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50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0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0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0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0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50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50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50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50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5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02C"/>
    <w:rPr>
      <w:rFonts w:eastAsiaTheme="majorEastAsia" w:cstheme="majorBidi"/>
      <w:color w:val="272727" w:themeColor="text1" w:themeTint="D8"/>
    </w:rPr>
  </w:style>
  <w:style w:type="paragraph" w:styleId="Title">
    <w:name w:val="Title"/>
    <w:basedOn w:val="Normal"/>
    <w:next w:val="Normal"/>
    <w:link w:val="TitleChar"/>
    <w:uiPriority w:val="10"/>
    <w:qFormat/>
    <w:rsid w:val="00AC50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02C"/>
    <w:pPr>
      <w:spacing w:before="160"/>
      <w:jc w:val="center"/>
    </w:pPr>
    <w:rPr>
      <w:i/>
      <w:iCs/>
      <w:color w:val="404040" w:themeColor="text1" w:themeTint="BF"/>
    </w:rPr>
  </w:style>
  <w:style w:type="character" w:customStyle="1" w:styleId="QuoteChar">
    <w:name w:val="Quote Char"/>
    <w:basedOn w:val="DefaultParagraphFont"/>
    <w:link w:val="Quote"/>
    <w:uiPriority w:val="29"/>
    <w:rsid w:val="00AC502C"/>
    <w:rPr>
      <w:i/>
      <w:iCs/>
      <w:color w:val="404040" w:themeColor="text1" w:themeTint="BF"/>
    </w:rPr>
  </w:style>
  <w:style w:type="paragraph" w:styleId="ListParagraph">
    <w:name w:val="List Paragraph"/>
    <w:basedOn w:val="Normal"/>
    <w:uiPriority w:val="34"/>
    <w:qFormat/>
    <w:rsid w:val="00AC502C"/>
    <w:pPr>
      <w:ind w:left="720"/>
      <w:contextualSpacing/>
    </w:pPr>
  </w:style>
  <w:style w:type="character" w:styleId="IntenseEmphasis">
    <w:name w:val="Intense Emphasis"/>
    <w:basedOn w:val="DefaultParagraphFont"/>
    <w:uiPriority w:val="21"/>
    <w:qFormat/>
    <w:rsid w:val="00AC502C"/>
    <w:rPr>
      <w:i/>
      <w:iCs/>
      <w:color w:val="2F5496" w:themeColor="accent1" w:themeShade="BF"/>
    </w:rPr>
  </w:style>
  <w:style w:type="paragraph" w:styleId="IntenseQuote">
    <w:name w:val="Intense Quote"/>
    <w:basedOn w:val="Normal"/>
    <w:next w:val="Normal"/>
    <w:link w:val="IntenseQuoteChar"/>
    <w:uiPriority w:val="30"/>
    <w:qFormat/>
    <w:rsid w:val="00AC50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502C"/>
    <w:rPr>
      <w:i/>
      <w:iCs/>
      <w:color w:val="2F5496" w:themeColor="accent1" w:themeShade="BF"/>
    </w:rPr>
  </w:style>
  <w:style w:type="character" w:styleId="IntenseReference">
    <w:name w:val="Intense Reference"/>
    <w:basedOn w:val="DefaultParagraphFont"/>
    <w:uiPriority w:val="32"/>
    <w:qFormat/>
    <w:rsid w:val="00AC502C"/>
    <w:rPr>
      <w:b/>
      <w:bCs/>
      <w:smallCaps/>
      <w:color w:val="2F5496" w:themeColor="accent1" w:themeShade="BF"/>
      <w:spacing w:val="5"/>
    </w:rPr>
  </w:style>
  <w:style w:type="character" w:customStyle="1" w:styleId="ANSWERS">
    <w:name w:val="ANSWERS"/>
    <w:qFormat/>
    <w:rsid w:val="00AC502C"/>
    <w:rPr>
      <w:rFonts w:ascii="Segoe UI" w:hAnsi="Segoe UI"/>
      <w:b w:val="0"/>
      <w:color w:val="050632"/>
      <w:sz w:val="24"/>
      <w:szCs w:val="20"/>
    </w:rPr>
  </w:style>
  <w:style w:type="character" w:styleId="Hyperlink">
    <w:name w:val="Hyperlink"/>
    <w:basedOn w:val="DefaultParagraphFont"/>
    <w:uiPriority w:val="99"/>
    <w:unhideWhenUsed/>
    <w:rsid w:val="00AC502C"/>
    <w:rPr>
      <w:color w:val="0563C1" w:themeColor="hyperlink"/>
      <w:u w:val="single"/>
    </w:rPr>
  </w:style>
  <w:style w:type="table" w:customStyle="1" w:styleId="Activity1">
    <w:name w:val="Activity 1"/>
    <w:basedOn w:val="TableNormal"/>
    <w:uiPriority w:val="99"/>
    <w:rsid w:val="00AC502C"/>
    <w:pPr>
      <w:spacing w:after="0" w:line="240" w:lineRule="auto"/>
    </w:pPr>
    <w:rPr>
      <w:rFonts w:ascii="Segoe UI" w:hAnsi="Segoe UI"/>
      <w:color w:val="050632"/>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character" w:styleId="UnresolvedMention">
    <w:name w:val="Unresolved Mention"/>
    <w:basedOn w:val="DefaultParagraphFont"/>
    <w:uiPriority w:val="99"/>
    <w:semiHidden/>
    <w:unhideWhenUsed/>
    <w:rsid w:val="00D26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007976">
      <w:bodyDiv w:val="1"/>
      <w:marLeft w:val="0"/>
      <w:marRight w:val="0"/>
      <w:marTop w:val="0"/>
      <w:marBottom w:val="0"/>
      <w:divBdr>
        <w:top w:val="none" w:sz="0" w:space="0" w:color="auto"/>
        <w:left w:val="none" w:sz="0" w:space="0" w:color="auto"/>
        <w:bottom w:val="none" w:sz="0" w:space="0" w:color="auto"/>
        <w:right w:val="none" w:sz="0" w:space="0" w:color="auto"/>
      </w:divBdr>
    </w:div>
    <w:div w:id="189446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stit831-my.sharepoint.com/:u:/g/personal/danpe_justit_co_uk/EZQ21qEcLdVHhvngLvlD4TsBmzGvgh98xkHGxM1XVNCKUg?e=E7UfGi"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09A0F414C38D45A45D15CCFD331B0C" ma:contentTypeVersion="6" ma:contentTypeDescription="Create a new document." ma:contentTypeScope="" ma:versionID="c3a3d9ec2c9bdf0b35ec20a092880d05">
  <xsd:schema xmlns:xsd="http://www.w3.org/2001/XMLSchema" xmlns:xs="http://www.w3.org/2001/XMLSchema" xmlns:p="http://schemas.microsoft.com/office/2006/metadata/properties" xmlns:ns3="e0da5b1e-2be1-4456-aaa6-382ce04b1f5e" targetNamespace="http://schemas.microsoft.com/office/2006/metadata/properties" ma:root="true" ma:fieldsID="cc69265eb9f47341e920163e30292681" ns3:_="">
    <xsd:import namespace="e0da5b1e-2be1-4456-aaa6-382ce04b1f5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a5b1e-2be1-4456-aaa6-382ce04b1f5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0da5b1e-2be1-4456-aaa6-382ce04b1f5e" xsi:nil="true"/>
  </documentManagement>
</p:properties>
</file>

<file path=customXml/itemProps1.xml><?xml version="1.0" encoding="utf-8"?>
<ds:datastoreItem xmlns:ds="http://schemas.openxmlformats.org/officeDocument/2006/customXml" ds:itemID="{F1BD0914-3E8F-4E84-82E3-B8B5318C361A}">
  <ds:schemaRefs>
    <ds:schemaRef ds:uri="http://schemas.microsoft.com/sharepoint/v3/contenttype/forms"/>
  </ds:schemaRefs>
</ds:datastoreItem>
</file>

<file path=customXml/itemProps2.xml><?xml version="1.0" encoding="utf-8"?>
<ds:datastoreItem xmlns:ds="http://schemas.openxmlformats.org/officeDocument/2006/customXml" ds:itemID="{BF2DD48B-73F0-4184-A802-B7D2E80A1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a5b1e-2be1-4456-aaa6-382ce04b1f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54BA71-18C5-4B40-B580-0970D7C39968}">
  <ds:schemaRefs>
    <ds:schemaRef ds:uri="http://schemas.microsoft.com/office/2006/metadata/properties"/>
    <ds:schemaRef ds:uri="http://schemas.microsoft.com/office/infopath/2007/PartnerControls"/>
    <ds:schemaRef ds:uri="e0da5b1e-2be1-4456-aaa6-382ce04b1f5e"/>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7</cp:revision>
  <dcterms:created xsi:type="dcterms:W3CDTF">2025-03-13T13:11:00Z</dcterms:created>
  <dcterms:modified xsi:type="dcterms:W3CDTF">2025-03-24T12:08:00Z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0x0101003A09A0F414C38D45A45D15CCFD331B0C</vt:lpwstr>
  </property>
</Properties>
</file>