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365D"/>
          <w:sz w:val="44"/>
        </w:rPr>
        <w:t>ESPECIFICACIÓN DE CAMBIOS Y ADAPTACIÓN AL MERCADO MEXICANO</w:t>
      </w:r>
    </w:p>
    <w:p>
      <w:pPr>
        <w:spacing w:after="360"/>
      </w:pPr>
      <w:r>
        <w:rPr>
          <w:rFonts w:ascii="Arial" w:hAnsi="Arial"/>
          <w:color w:val="2B6CB0"/>
          <w:sz w:val="26"/>
        </w:rPr>
        <w:t>Sistema Nexus v3.0 — Reestructuración de Arquitectura, SDD y Constitución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Fecha:</w:t>
            </w:r>
            <w:r>
              <w:rPr>
                <w:rFonts w:ascii="Arial" w:hAnsi="Arial"/>
                <w:color w:val="2D3748"/>
                <w:sz w:val="19"/>
              </w:rPr>
              <w:t xml:space="preserve"> Septiembre 2026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Versión de Especificación:</w:t>
            </w:r>
            <w:r>
              <w:rPr>
                <w:rFonts w:ascii="Arial" w:hAnsi="Arial"/>
                <w:color w:val="2D3748"/>
                <w:sz w:val="19"/>
              </w:rPr>
              <w:t xml:space="preserve"> 3.0-MX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Fundadores / Autores:</w:t>
            </w:r>
            <w:r>
              <w:rPr>
                <w:rFonts w:ascii="Arial" w:hAnsi="Arial"/>
                <w:color w:val="2D3748"/>
                <w:sz w:val="19"/>
              </w:rPr>
              <w:t xml:space="preserve"> Alan y Eduardo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Mercado Objetivo:</w:t>
            </w:r>
            <w:r>
              <w:rPr>
                <w:rFonts w:ascii="Arial" w:hAnsi="Arial"/>
                <w:color w:val="2D3748"/>
                <w:sz w:val="19"/>
              </w:rPr>
              <w:t xml:space="preserve"> México (Retail / Tienditas)</w:t>
            </w:r>
          </w:p>
        </w:tc>
      </w:tr>
    </w:tbl>
    <w:p>
      <w:pPr>
        <w:spacing w:after="240"/>
      </w:pPr>
    </w:p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Arial" w:hAnsi="Arial"/>
          <w:b/>
          <w:color w:val="1A365D"/>
          <w:sz w:val="36"/>
        </w:rPr>
        <w:t>1. Resumen Ejecutivo y Marco Estratégico</w:t>
      </w:r>
    </w:p>
    <w:p>
      <w:pPr>
        <w:spacing w:after="120" w:line="276" w:lineRule="auto"/>
      </w:pPr>
      <w:r>
        <w:rPr>
          <w:rFonts w:ascii="Arial" w:hAnsi="Arial"/>
          <w:b/>
          <w:color w:val="1A365D"/>
          <w:sz w:val="21"/>
        </w:rPr>
        <w:t xml:space="preserve">Propósito del Documento: </w:t>
      </w:r>
      <w:r>
        <w:rPr>
          <w:rFonts w:ascii="Arial" w:hAnsi="Arial"/>
          <w:i w:val="0"/>
          <w:color w:val="2D3748"/>
          <w:sz w:val="21"/>
        </w:rPr>
        <w:t>El presente documento establece formalmente la reestructuración integral del sistema Nexus (Gestión Comercial Modular SaaS), reorientando su arquitectura técnica, reglas de negocio y estrategia comercial desde el mercado venezolano hacia el mercado retail minorista en México.</w:t>
      </w:r>
    </w:p>
    <w:p>
      <w:pPr>
        <w:spacing w:after="120" w:line="276" w:lineRule="auto"/>
      </w:pPr>
      <w:r>
        <w:rPr>
          <w:rFonts w:ascii="Arial" w:hAnsi="Arial"/>
          <w:b/>
          <w:color w:val="1A365D"/>
          <w:sz w:val="21"/>
        </w:rPr>
        <w:t xml:space="preserve">Justificación Estratégica: </w:t>
      </w:r>
      <w:r>
        <w:rPr>
          <w:rFonts w:ascii="Arial" w:hAnsi="Arial"/>
          <w:i w:val="0"/>
          <w:color w:val="2D3748"/>
          <w:sz w:val="21"/>
        </w:rPr>
        <w:t>La decisión de migración responde a la oportunidad de acelerar la adopción en el sector de tienditas de abarrotes, misceláneas y comercios independientes en México. Este cambio elimina la necesidad de soportar la hiperinflación y volatilidad bimoneda obligatoria (USD/VES), sustituyéndola por una contabilidad nativa en Pesos Mexicanos (MXN) con estabilidad financiera, al tiempo que adapta los canales de cobro SaaS a plataformas locales de alta penetración como SPEI, OXXO Pay y Mercado Pago.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B6CB0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A365D"/>
                <w:sz w:val="22"/>
              </w:rPr>
              <w:t>PRINCIPIOS CLAVE DE LA REESTRUCTURACIÓN (MÉXICO)</w:t>
              <w:br/>
            </w:r>
            <w:r>
              <w:rPr>
                <w:rFonts w:ascii="Arial" w:hAnsi="Arial"/>
                <w:color w:val="2D3748"/>
                <w:sz w:val="20"/>
              </w:rPr>
              <w:t>1. Mantener el enfoque estricto en software de gestión operativa y control de inventarios sin integración fiscal CFDI 4.0 / SAT en esta etapa.</w:t>
              <w:br/>
              <w:t>2. Adoptar el Peso Mexicano (MXN) como moneda de primera clase predeterminada en todo el sistema.</w:t>
              <w:br/>
              <w:t>3. Reemplazar los métodos de cobro bimoneda por pasarelas y mecanismos nativos mexicanos (SPEI, OXXO Pay, TPV Clip/Mercado Pago, Efectivo MXN).</w:t>
              <w:br/>
              <w:t>4. Rediseñar los asistentes de caja y arqueo para las denominaciones oficiales del Banco de México (Banxico).</w:t>
            </w:r>
          </w:p>
        </w:tc>
      </w:tr>
    </w:tbl>
    <w:p>
      <w:pPr>
        <w:spacing w:after="120"/>
      </w:pPr>
    </w:p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Arial" w:hAnsi="Arial"/>
          <w:b/>
          <w:color w:val="1A365D"/>
          <w:sz w:val="36"/>
        </w:rPr>
        <w:t>2. Matriz de Impacto y Comparativa Transversal</w:t>
      </w:r>
    </w:p>
    <w:p>
      <w:pPr>
        <w:spacing w:after="120" w:line="276" w:lineRule="auto"/>
      </w:pPr>
      <w:r>
        <w:rPr>
          <w:rFonts w:ascii="Arial" w:hAnsi="Arial"/>
          <w:i w:val="0"/>
          <w:color w:val="2D3748"/>
          <w:sz w:val="21"/>
        </w:rPr>
        <w:t>A continuación se detalla la matriz de transformación para cada dimensión técnica y funcional del sistema: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2592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Implementación Original (VE)</w:t>
            </w:r>
          </w:p>
        </w:tc>
        <w:tc>
          <w:tcPr>
            <w:tcW w:type="dxa" w:w="2592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Nueva Implementación (MX)</w:t>
            </w:r>
          </w:p>
        </w:tc>
        <w:tc>
          <w:tcPr>
            <w:tcW w:type="dxa" w:w="2448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Justificación Técnica</w:t>
            </w:r>
          </w:p>
        </w:tc>
      </w:tr>
      <w:tr>
        <w:tc>
          <w:tcPr>
            <w:tcW w:type="dxa" w:w="172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A365D"/>
                <w:sz w:val="18"/>
              </w:rPr>
              <w:t>Moneda Base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Bimoneda nativa USD/VES con actualización diaria de tasa BCV/paralelo.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Peso Mexicano (MXN) como moneda nativa base. USD opcional para importación/frontera.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En México el retail opera unificada y contablemente en MXN. Se elimina recálculo diario por tasa inflacionaria.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A365D"/>
                <w:sz w:val="18"/>
              </w:rPr>
              <w:t>Marco Fiscal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Comprobantes administrativos sin SENIAT.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Notas de venta / recibos internos sin timbrado CFDI 4.0 / SAT / PAC.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Mantiene enfoque en microcomercios e informales (RESICO/abarrotes) reduciendo costos y complejidad legal.</w:t>
            </w:r>
          </w:p>
        </w:tc>
      </w:tr>
      <w:tr>
        <w:tc>
          <w:tcPr>
            <w:tcW w:type="dxa" w:w="172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A365D"/>
                <w:sz w:val="18"/>
              </w:rPr>
              <w:t>Cobro SaaS (Nexus)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Binance Pay (USDT), Pago Móvil VES, Zinli, Zelle, Efectivo USD.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SPEI (Transferencia STP), OXXO Pay, Mercado Pago / Stripe, Efectivo MXN.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SPEI es el estándar bancario inmediato en MX y OXXO Pay cubre cobro en efectivo en +20,000 tiendas.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A365D"/>
                <w:sz w:val="18"/>
              </w:rPr>
              <w:t>Pagos en POS (Caja)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Efectivo USD/VES, Pago Móvil VES, Zelle.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Efectivo MXN, SPEI, CoDi/DiMo, TPVs externas (Clip, Mercado Pago).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Adaptación total a las pasarelas y métodos de pago habituales del consumidor retail mexicano.</w:t>
            </w:r>
          </w:p>
        </w:tc>
      </w:tr>
      <w:tr>
        <w:tc>
          <w:tcPr>
            <w:tcW w:type="dxa" w:w="172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A365D"/>
                <w:sz w:val="18"/>
              </w:rPr>
              <w:t>Arqueo de Caja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Desglose por billetes USD, VES y Euros.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Denominaciones oficiales del Banco de México (Banxico) (Billetes $20-$1000, Monedas $0.50-$20).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Conteo exacto según el cono monetario circulante en México para cierres de turno sin fricción.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A365D"/>
                <w:sz w:val="18"/>
              </w:rPr>
              <w:t>Terminología Retail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Bodegas, abastos, Harina PAN, Pago Móvil.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Tienditas de abarrotes, misceláneas, minisuper, Maseca, Coca-Cola, SPEI.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Alineación cultural y operativa con el lenguaje real del comerciante mexicano.</w:t>
            </w:r>
          </w:p>
        </w:tc>
      </w:tr>
    </w:tbl>
    <w:p>
      <w:pPr>
        <w:spacing w:after="240"/>
      </w:pPr>
    </w:p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Arial" w:hAnsi="Arial"/>
          <w:b/>
          <w:color w:val="1A365D"/>
          <w:sz w:val="36"/>
        </w:rPr>
        <w:t>3. Modificaciones Específicas al Documento Maestro v3.0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8"/>
        </w:rPr>
        <w:t>3.1 Sección 1: Introducción y Contexto</w:t>
      </w:r>
    </w:p>
    <w:p>
      <w:pPr>
        <w:spacing w:after="120" w:line="276" w:lineRule="auto"/>
      </w:pPr>
      <w:r>
        <w:rPr>
          <w:rFonts w:ascii="Arial" w:hAnsi="Arial"/>
          <w:b/>
          <w:color w:val="1A365D"/>
          <w:sz w:val="21"/>
        </w:rPr>
        <w:t xml:space="preserve">Sección 1.2 (Mercado Objetivo): </w:t>
      </w:r>
      <w:r>
        <w:rPr>
          <w:rFonts w:ascii="Arial" w:hAnsi="Arial"/>
          <w:i w:val="0"/>
          <w:color w:val="2D3748"/>
          <w:sz w:val="21"/>
        </w:rPr>
        <w:t>Se redefine el mercado objetivo a 'Comercios informales y pequeños minoristas en México (tienditas de abarrotes, misceláneas, tiendas de ropa, papelerías y farmacias independientes)'. Los dispositivos primarios se mantienen en smartphones Android de gama baja/media y Flutter Web para PC/Tablet. Se ratifica la exención de timbrado CFDI 4.0 ante el SAT en esta fase.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8"/>
        </w:rPr>
        <w:t>3.2 Sección 4: Separación de Responsabilidades Financieras</w:t>
      </w:r>
    </w:p>
    <w:p>
      <w:pPr>
        <w:spacing w:after="120" w:line="276" w:lineRule="auto"/>
      </w:pPr>
      <w:r>
        <w:rPr>
          <w:rFonts w:ascii="Arial" w:hAnsi="Arial"/>
          <w:b/>
          <w:color w:val="1A365D"/>
          <w:sz w:val="21"/>
        </w:rPr>
        <w:t xml:space="preserve">Sección 4.1 (Panel Administrativo SaaS): </w:t>
      </w:r>
      <w:r>
        <w:rPr>
          <w:rFonts w:ascii="Arial" w:hAnsi="Arial"/>
          <w:i w:val="0"/>
          <w:color w:val="2D3748"/>
          <w:sz w:val="21"/>
        </w:rPr>
        <w:t>El panel administrativo interno para Alan y Eduardo se adapta para conciliar pagos de suscripciones del SaaS mediante transferencias SPEI (vía CLABE interbancaria dedicada o proveedor STP) e ingresos por OXXO Pay, eliminando la verificación manual de Pago Móvil venezolano.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8"/>
        </w:rPr>
        <w:t>3.3 Sección 5: Reevaluación de Módulos Funcionales</w:t>
      </w:r>
    </w:p>
    <w:p>
      <w:pPr>
        <w:spacing w:after="80" w:line="276" w:lineRule="auto"/>
      </w:pPr>
      <w:r>
        <w:rPr>
          <w:rFonts w:ascii="Arial" w:hAnsi="Arial"/>
          <w:b/>
          <w:color w:val="1A365D"/>
          <w:sz w:val="21"/>
        </w:rPr>
        <w:t>RF-02 (Manejo de Moneda Nativa Base):</w:t>
      </w:r>
      <w:r>
        <w:rPr>
          <w:rFonts w:ascii="Arial" w:hAnsi="Arial"/>
          <w:i w:val="0"/>
          <w:color w:val="2D3748"/>
          <w:sz w:val="21"/>
        </w:rPr>
        <w:t xml:space="preserve"> Pasa de 'Manejo Bimoneda Nativo USD/VES' a 'Moneda Base Nativa MXN'. Todos los costos y precios se registran y calculan en Pesos Mexicanos. Se habilita un campo opcional `cost_usd_import` para mercancía importada, aplicando la tasa oficial de Banxico únicamente cuando el usuario lo configure.</w:t>
      </w:r>
    </w:p>
    <w:p>
      <w:pPr>
        <w:spacing w:after="80" w:line="276" w:lineRule="auto"/>
      </w:pPr>
      <w:r>
        <w:rPr>
          <w:rFonts w:ascii="Arial" w:hAnsi="Arial"/>
          <w:b/>
          <w:color w:val="1A365D"/>
          <w:sz w:val="21"/>
        </w:rPr>
        <w:t>RF-08 (Emisión de Comprobantes Internos):</w:t>
      </w:r>
      <w:r>
        <w:rPr>
          <w:rFonts w:ascii="Arial" w:hAnsi="Arial"/>
          <w:i w:val="0"/>
          <w:color w:val="2D3748"/>
          <w:sz w:val="21"/>
        </w:rPr>
        <w:t xml:space="preserve"> Reemplaza la nota no fiscal SENIAT por 'Notas de Venta y Comprobantes Internos' en formato PDF/WhatsApp o tickets para impresoras térmicas de 58mm/80mm, orientadas al control administrativo del comercio sin timbrado CFDI.</w:t>
      </w:r>
    </w:p>
    <w:p>
      <w:pPr>
        <w:spacing w:after="80" w:line="276" w:lineRule="auto"/>
      </w:pPr>
      <w:r>
        <w:rPr>
          <w:rFonts w:ascii="Arial" w:hAnsi="Arial"/>
          <w:b/>
          <w:color w:val="1A365D"/>
          <w:sz w:val="21"/>
        </w:rPr>
        <w:t>RF-13 (Registro Contable de Pagos en Punto de Venta):</w:t>
      </w:r>
      <w:r>
        <w:rPr>
          <w:rFonts w:ascii="Arial" w:hAnsi="Arial"/>
          <w:i w:val="0"/>
          <w:color w:val="2D3748"/>
          <w:sz w:val="21"/>
        </w:rPr>
        <w:t xml:space="preserve"> Adapta los métodos de cobro aceptados en la caja a: Efectivo MXN, Transferencia SPEI, CoDi/DiMo (Banco de México) y TPV Externa/Integrada (Clip, Mercado Pago, Zettle).</w:t>
      </w:r>
    </w:p>
    <w:p>
      <w:pPr>
        <w:spacing w:after="80" w:line="276" w:lineRule="auto"/>
      </w:pPr>
      <w:r>
        <w:rPr>
          <w:rFonts w:ascii="Arial" w:hAnsi="Arial"/>
          <w:b/>
          <w:color w:val="1A365D"/>
          <w:sz w:val="21"/>
        </w:rPr>
        <w:t>RF-14 (Pagos Mixtos y Vuelto en MXN):</w:t>
      </w:r>
      <w:r>
        <w:rPr>
          <w:rFonts w:ascii="Arial" w:hAnsi="Arial"/>
          <w:i w:val="0"/>
          <w:color w:val="2D3748"/>
          <w:sz w:val="21"/>
        </w:rPr>
        <w:t xml:space="preserve"> Permite combinar métodos de pago (ej. $200 en Efectivo MXN + $150 vía SPEI). El cálculo de cambio/vuelto se realiza en tiempo real en Pesos Mexicanos con botones de acceso rápido para billetes comunes ($100, $200, $500 MXN).</w:t>
      </w:r>
    </w:p>
    <w:p>
      <w:pPr>
        <w:spacing w:after="80" w:line="276" w:lineRule="auto"/>
      </w:pPr>
      <w:r>
        <w:rPr>
          <w:rFonts w:ascii="Arial" w:hAnsi="Arial"/>
          <w:b/>
          <w:color w:val="1A365D"/>
          <w:sz w:val="21"/>
        </w:rPr>
        <w:t>RF-16 (Cuentas por Pagar a Proveedores):</w:t>
      </w:r>
      <w:r>
        <w:rPr>
          <w:rFonts w:ascii="Arial" w:hAnsi="Arial"/>
          <w:i w:val="0"/>
          <w:color w:val="2D3748"/>
          <w:sz w:val="21"/>
        </w:rPr>
        <w:t xml:space="preserve"> Seguimiento de saldos adeudados y créditos de proveedores nacionales en Pesos Mexicanos (MXN), manteniendo el historial de pagos y compras realizadas.</w:t>
      </w:r>
    </w:p>
    <w:p>
      <w:pPr>
        <w:spacing w:after="80" w:line="276" w:lineRule="auto"/>
      </w:pPr>
      <w:r>
        <w:rPr>
          <w:rFonts w:ascii="Arial" w:hAnsi="Arial"/>
          <w:b/>
          <w:color w:val="1A365D"/>
          <w:sz w:val="21"/>
        </w:rPr>
        <w:t>RF-18 (Arqueo Multimoneda y Cierre de Caja):</w:t>
      </w:r>
      <w:r>
        <w:rPr>
          <w:rFonts w:ascii="Arial" w:hAnsi="Arial"/>
          <w:i w:val="0"/>
          <w:color w:val="2D3748"/>
          <w:sz w:val="21"/>
        </w:rPr>
        <w:t xml:space="preserve"> Rediseñado para efectuar el conteo físico con base estricta en el cono monetario del Banco de México (Banxico).</w:t>
      </w:r>
    </w:p>
    <w:p>
      <w:pPr>
        <w:spacing w:after="80" w:line="276" w:lineRule="auto"/>
      </w:pPr>
      <w:r>
        <w:rPr>
          <w:rFonts w:ascii="Arial" w:hAnsi="Arial"/>
          <w:b/>
          <w:color w:val="1A365D"/>
          <w:sz w:val="21"/>
        </w:rPr>
        <w:t>RF-23 a RF-27 (Catálogo Digital WhatsApp):</w:t>
      </w:r>
      <w:r>
        <w:rPr>
          <w:rFonts w:ascii="Arial" w:hAnsi="Arial"/>
          <w:i w:val="0"/>
          <w:color w:val="2D3748"/>
          <w:sz w:val="21"/>
        </w:rPr>
        <w:t xml:space="preserve"> Catálogo público en línea sincronizado con precios expuestos en $ MXN y envío de pedidos pre-armados por WhatsApp a la tiendita.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8"/>
        </w:rPr>
        <w:t>3.4 Sección 6: Sub-Requisitos UX (SR-01 a SR-07)</w:t>
      </w:r>
    </w:p>
    <w:p>
      <w:pPr>
        <w:spacing w:after="80" w:line="276" w:lineRule="auto"/>
      </w:pPr>
      <w:r>
        <w:rPr>
          <w:rFonts w:ascii="Arial" w:hAnsi="Arial"/>
          <w:b/>
          <w:color w:val="1A365D"/>
          <w:sz w:val="21"/>
        </w:rPr>
        <w:t>SR-01 (Onboarding):</w:t>
      </w:r>
      <w:r>
        <w:rPr>
          <w:rFonts w:ascii="Arial" w:hAnsi="Arial"/>
          <w:i w:val="0"/>
          <w:color w:val="2D3748"/>
          <w:sz w:val="21"/>
        </w:rPr>
        <w:t xml:space="preserve"> Plantillas iniciales con catálogos semilla de abarrotes populares en México (Lácteos, Bebidas, Botanas, Limpieza).</w:t>
      </w:r>
    </w:p>
    <w:p>
      <w:pPr>
        <w:spacing w:after="80" w:line="276" w:lineRule="auto"/>
      </w:pPr>
      <w:r>
        <w:rPr>
          <w:rFonts w:ascii="Arial" w:hAnsi="Arial"/>
          <w:b/>
          <w:color w:val="1A365D"/>
          <w:sz w:val="21"/>
        </w:rPr>
        <w:t>SR-02 (Dashboard):</w:t>
      </w:r>
      <w:r>
        <w:rPr>
          <w:rFonts w:ascii="Arial" w:hAnsi="Arial"/>
          <w:i w:val="0"/>
          <w:color w:val="2D3748"/>
          <w:sz w:val="21"/>
        </w:rPr>
        <w:t xml:space="preserve"> Tarjetas de acción y métricas operativas presentadas directamente en $ MXN.</w:t>
      </w:r>
    </w:p>
    <w:p>
      <w:pPr>
        <w:spacing w:after="80" w:line="276" w:lineRule="auto"/>
      </w:pPr>
      <w:r>
        <w:rPr>
          <w:rFonts w:ascii="Arial" w:hAnsi="Arial"/>
          <w:b/>
          <w:color w:val="1A365D"/>
          <w:sz w:val="21"/>
        </w:rPr>
        <w:t>SR-03 (Toggle de Moneda):</w:t>
      </w:r>
      <w:r>
        <w:rPr>
          <w:rFonts w:ascii="Arial" w:hAnsi="Arial"/>
          <w:i w:val="0"/>
          <w:color w:val="2D3748"/>
          <w:sz w:val="21"/>
        </w:rPr>
        <w:t xml:space="preserve"> Se convierte en un conmutador secundario de visibilidad opcional (MXN/USD) deshabilitado por defecto, útil únicamente para comercios en franja fronteriza norte.</w:t>
      </w:r>
    </w:p>
    <w:p>
      <w:pPr>
        <w:spacing w:after="80" w:line="276" w:lineRule="auto"/>
      </w:pPr>
      <w:r>
        <w:rPr>
          <w:rFonts w:ascii="Arial" w:hAnsi="Arial"/>
          <w:b/>
          <w:color w:val="1A365D"/>
          <w:sz w:val="21"/>
        </w:rPr>
        <w:t>SR-04 (Checkout Ininterrumpido):</w:t>
      </w:r>
      <w:r>
        <w:rPr>
          <w:rFonts w:ascii="Arial" w:hAnsi="Arial"/>
          <w:i w:val="0"/>
          <w:color w:val="2D3748"/>
          <w:sz w:val="21"/>
        </w:rPr>
        <w:t xml:space="preserve"> Calculadora de cambio rápida optimizada para denominaciones mexicanas ($50, $100, $200, $500 MXN).</w:t>
      </w:r>
    </w:p>
    <w:p>
      <w:pPr>
        <w:spacing w:after="80" w:line="276" w:lineRule="auto"/>
      </w:pPr>
      <w:r>
        <w:rPr>
          <w:rFonts w:ascii="Arial" w:hAnsi="Arial"/>
          <w:b/>
          <w:color w:val="1A365D"/>
          <w:sz w:val="21"/>
        </w:rPr>
        <w:t>SR-07 (Asistente Visual de Cierre de Caja):</w:t>
      </w:r>
      <w:r>
        <w:rPr>
          <w:rFonts w:ascii="Arial" w:hAnsi="Arial"/>
          <w:i w:val="0"/>
          <w:color w:val="2D3748"/>
          <w:sz w:val="21"/>
        </w:rPr>
        <w:t xml:space="preserve"> Interfaz guiada paso a paso (wizard) con ilustraciones/iconos de billetes y monedas del Banco de México.</w:t>
      </w:r>
    </w:p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Arial" w:hAnsi="Arial"/>
          <w:b/>
          <w:color w:val="1A365D"/>
          <w:sz w:val="36"/>
        </w:rPr>
        <w:t>4. Modificaciones Específicas a la Constitución de Nexus</w:t>
      </w:r>
    </w:p>
    <w:p>
      <w:pPr>
        <w:spacing w:after="120" w:line="276" w:lineRule="auto"/>
      </w:pPr>
      <w:r>
        <w:rPr>
          <w:rFonts w:ascii="Arial" w:hAnsi="Arial"/>
          <w:b/>
          <w:color w:val="1A365D"/>
          <w:sz w:val="21"/>
        </w:rPr>
        <w:t>Artículo I (Principio 1.2.4 - Moneda Nativa MXN):</w:t>
      </w:r>
      <w:r>
        <w:rPr>
          <w:rFonts w:ascii="Arial" w:hAnsi="Arial"/>
          <w:i w:val="0"/>
          <w:color w:val="2D3748"/>
          <w:sz w:val="21"/>
        </w:rPr>
        <w:t xml:space="preserve"> Se modifica la regla inquebrantable: 'MXN como Ciudadano de Primera Clase'. Todo el sistema asume el Peso Mexicano como moneda base de registro y reporte. Se elimina la obligación de congelar tasa diaria VES/USD en cada venta, salvo cuando el comercio active el módulo de importación en USD.</w:t>
      </w:r>
    </w:p>
    <w:p>
      <w:pPr>
        <w:spacing w:after="120" w:line="276" w:lineRule="auto"/>
      </w:pPr>
      <w:r>
        <w:rPr>
          <w:rFonts w:ascii="Arial" w:hAnsi="Arial"/>
          <w:b/>
          <w:color w:val="1A365D"/>
          <w:sz w:val="21"/>
        </w:rPr>
        <w:t>Artículo II (Sección 2.3 - Manejo Monetario):</w:t>
      </w:r>
      <w:r>
        <w:rPr>
          <w:rFonts w:ascii="Arial" w:hAnsi="Arial"/>
          <w:i w:val="0"/>
          <w:color w:val="2D3748"/>
          <w:sz w:val="21"/>
        </w:rPr>
        <w:t xml:space="preserve"> Los productos almacenan `cost_mxn` y `price_mxn`. Se elimina la dependencia de la API de tasa de cambio diaria en el checkout estándar, acelerando el tiempo de respuesta de la API de ventas.</w:t>
      </w:r>
    </w:p>
    <w:p>
      <w:pPr>
        <w:spacing w:after="120" w:line="276" w:lineRule="auto"/>
      </w:pPr>
      <w:r>
        <w:rPr>
          <w:rFonts w:ascii="Arial" w:hAnsi="Arial"/>
          <w:b/>
          <w:color w:val="1A365D"/>
          <w:sz w:val="21"/>
        </w:rPr>
        <w:t>Artículo III y V (Suscripciones SaaS):</w:t>
      </w:r>
      <w:r>
        <w:rPr>
          <w:rFonts w:ascii="Arial" w:hAnsi="Arial"/>
          <w:i w:val="0"/>
          <w:color w:val="2D3748"/>
          <w:sz w:val="21"/>
        </w:rPr>
        <w:t xml:space="preserve"> Los métodos de cobro autorizados para pagar el SaaS a los fundadores pasan a ser: SPEI (STP/Banxico), OXXO Pay, Tarjeta vía Mercado Pago/Stripe y Efectivo MXN.</w:t>
      </w:r>
    </w:p>
    <w:p>
      <w:pPr>
        <w:spacing w:after="120" w:line="276" w:lineRule="auto"/>
      </w:pPr>
      <w:r>
        <w:rPr>
          <w:rFonts w:ascii="Arial" w:hAnsi="Arial"/>
          <w:b/>
          <w:color w:val="1A365D"/>
          <w:sz w:val="21"/>
        </w:rPr>
        <w:t>Artículo VI (Estructura de Planes SaaS en MXN):</w:t>
      </w:r>
      <w:r>
        <w:rPr>
          <w:rFonts w:ascii="Arial" w:hAnsi="Arial"/>
          <w:i w:val="0"/>
          <w:color w:val="2D3748"/>
          <w:sz w:val="21"/>
        </w:rPr>
        <w:t xml:space="preserve"> Reexpresión de tarifas a moneda local mexicana:</w:t>
        <w:br/>
        <w:t>• Plan Emprendedor: $199 MXN / mes (Hasta 2 usuarios, 1 almacén, inventario y ventas base).</w:t>
        <w:br/>
        <w:t>• Plan Comercio: $399 MXN / mes (Hasta 5 usuarios, caja, arqueo Banxico, catálogo WhatsApp y pagos mixtos).</w:t>
        <w:br/>
        <w:t>• Plan Corporativo: $699 MXN / mes (Hasta 15 usuarios, analítica avanzada y multi-almacén).</w:t>
      </w:r>
    </w:p>
    <w:p>
      <w:pPr>
        <w:spacing w:after="120" w:line="276" w:lineRule="auto"/>
      </w:pPr>
      <w:r>
        <w:rPr>
          <w:rFonts w:ascii="Arial" w:hAnsi="Arial"/>
          <w:b/>
          <w:color w:val="1A365D"/>
          <w:sz w:val="21"/>
        </w:rPr>
        <w:t>Artículo VIII (Sección 8.5 - Reglas de Prohibición):</w:t>
      </w:r>
      <w:r>
        <w:rPr>
          <w:rFonts w:ascii="Arial" w:hAnsi="Arial"/>
          <w:i w:val="0"/>
          <w:color w:val="2D3748"/>
          <w:sz w:val="21"/>
        </w:rPr>
        <w:t xml:space="preserve"> Se incluye de forma explícita: 'No implementar timbrado de facturación fiscal electrónica CFDI 4.0 / SAT ni integración con PACs en esta fase del sistema'.</w:t>
      </w:r>
    </w:p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Arial" w:hAnsi="Arial"/>
          <w:b/>
          <w:color w:val="1A365D"/>
          <w:sz w:val="36"/>
        </w:rPr>
        <w:t>5. Especificación de Base de Datos y APIs (SDD México)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8"/>
        </w:rPr>
        <w:t>5.1 Scripts SQL de Migración (PostgreSQL DDL)</w:t>
      </w:r>
    </w:p>
    <w:p>
      <w:pPr>
        <w:spacing w:after="120" w:line="276" w:lineRule="auto"/>
      </w:pPr>
      <w:r>
        <w:rPr>
          <w:rFonts w:ascii="Arial" w:hAnsi="Arial"/>
          <w:i w:val="0"/>
          <w:color w:val="2D3748"/>
          <w:sz w:val="21"/>
        </w:rPr>
        <w:t>Ejecutar las siguientes modificaciones sobre el esquema relacional multi-tenant existente: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7FAFC"/>
                <w:sz w:val="19"/>
              </w:rPr>
              <w:t>-- 1. Adaptación de la Tabla de Productos a Pesos Mexicanos (MXN)</w:t>
              <w:br/>
              <w:t xml:space="preserve">ALTER TABLE products </w:t>
              <w:br/>
              <w:t xml:space="preserve">  RENAME COLUMN price_ves_manual TO price_mxn;</w:t>
              <w:br/>
              <w:br/>
              <w:t xml:space="preserve">ALTER TABLE products </w:t>
              <w:br/>
              <w:t xml:space="preserve">  RENAME COLUMN cost_usd TO cost_mxn;</w:t>
              <w:br/>
              <w:br/>
              <w:t xml:space="preserve">ALTER TABLE products </w:t>
              <w:br/>
              <w:t xml:space="preserve">  ADD COLUMN cost_usd_import NUMERIC(12, 4) DEFAULT NULL;</w:t>
              <w:br/>
              <w:br/>
              <w:t>-- 2. Adaptación de la Tabla de Ventas y Métodos de Pago</w:t>
              <w:br/>
              <w:t xml:space="preserve">ALTER TABLE sales </w:t>
              <w:br/>
              <w:t xml:space="preserve">  RENAME COLUMN exchange_rate_applied TO usd_mxn_exchange_rate_applied;</w:t>
              <w:br/>
              <w:br/>
              <w:t xml:space="preserve">ALTER TABLE sales </w:t>
              <w:br/>
              <w:t xml:space="preserve">  ADD COLUMN payment_method_type VARCHAR(30) </w:t>
              <w:br/>
              <w:t xml:space="preserve">  CHECK (payment_method_type IN ('CASH_MXN', 'SPEI', 'CODI', 'CARD_TPV', 'MIXED'));</w:t>
              <w:br/>
              <w:br/>
              <w:t>-- 3. Nueva Tabla para Registro Físico de Denominaciones del Banco de México (Banxico)</w:t>
              <w:br/>
              <w:t>CREATE TABLE cash_session_denominations (</w:t>
              <w:br/>
              <w:t xml:space="preserve">    id UUID PRIMARY KEY DEFAULT gen_random_uuid(),</w:t>
              <w:br/>
              <w:t xml:space="preserve">    cash_session_id UUID NOT NULL REFERENCES cash_sessions(id) ON DELETE CASCADE,</w:t>
              <w:br/>
              <w:t xml:space="preserve">    tenant_id UUID NOT NULL REFERENCES tenants(id),</w:t>
              <w:br/>
              <w:t xml:space="preserve">    bills_1000 INT DEFAULT 0,</w:t>
              <w:br/>
              <w:t xml:space="preserve">    bills_500  INT DEFAULT 0,</w:t>
              <w:br/>
              <w:t xml:space="preserve">    bills_200  INT DEFAULT 0,</w:t>
              <w:br/>
              <w:t xml:space="preserve">    bills_100  INT DEFAULT 0,</w:t>
              <w:br/>
              <w:t xml:space="preserve">    bills_50   INT DEFAULT 0,</w:t>
              <w:br/>
              <w:t xml:space="preserve">    bills_20   INT DEFAULT 0,</w:t>
              <w:br/>
              <w:t xml:space="preserve">    coins_20   INT DEFAULT 0,</w:t>
              <w:br/>
              <w:t xml:space="preserve">    coins_10   INT DEFAULT 0,</w:t>
              <w:br/>
              <w:t xml:space="preserve">    coins_5    INT DEFAULT 0,</w:t>
              <w:br/>
              <w:t xml:space="preserve">    coins_2    INT DEFAULT 0,</w:t>
              <w:br/>
              <w:t xml:space="preserve">    coins_1    INT DEFAULT 0,</w:t>
              <w:br/>
              <w:t xml:space="preserve">    coins_050  INT DEFAULT 0,</w:t>
              <w:br/>
              <w:t xml:space="preserve">    total_calculated_mxn NUMERIC(12,2) NOT NULL,</w:t>
              <w:br/>
              <w:t xml:space="preserve">    created_at TIMESTAMP WITH TIME ZONE DEFAULT NOW()</w:t>
              <w:br/>
              <w:t>);</w:t>
              <w:br/>
              <w:br/>
              <w:t xml:space="preserve">CREATE INDEX idx_cash_denominations_tenant_session </w:t>
              <w:br/>
              <w:t xml:space="preserve">  ON cash_session_denominations(tenant_id, cash_session_id);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8"/>
        </w:rPr>
        <w:t>5.2 Rediseño de Endpoints de la API (FastAPI)</w:t>
      </w:r>
    </w:p>
    <w:p>
      <w:pPr>
        <w:spacing w:after="120" w:line="276" w:lineRule="auto"/>
      </w:pPr>
      <w:r>
        <w:rPr>
          <w:rFonts w:ascii="Arial" w:hAnsi="Arial"/>
          <w:b/>
          <w:color w:val="1A365D"/>
          <w:sz w:val="21"/>
        </w:rPr>
        <w:t xml:space="preserve">POST /api/v1/sales/checkout — </w:t>
      </w:r>
      <w:r>
        <w:rPr>
          <w:rFonts w:ascii="Arial" w:hAnsi="Arial"/>
          <w:i w:val="0"/>
          <w:color w:val="2D3748"/>
          <w:sz w:val="21"/>
        </w:rPr>
        <w:t>Checkout de Venta en Punto de Venta (MXN)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7FAFC"/>
                <w:sz w:val="19"/>
              </w:rPr>
              <w:t>{</w:t>
              <w:br/>
              <w:t xml:space="preserve">  "client_id": "3fa85f64-5717-4562-b3fc-2c963f66afa6",</w:t>
              <w:br/>
              <w:t xml:space="preserve">  "items": [</w:t>
              <w:br/>
              <w:t xml:space="preserve">    {</w:t>
              <w:br/>
              <w:t xml:space="preserve">      "product_id": "d1234567-89ab-cdef-0123-456789abcdef",</w:t>
              <w:br/>
              <w:t xml:space="preserve">      "quantity": 2,</w:t>
              <w:br/>
              <w:t xml:space="preserve">      "unit_price_mxn": 35.50</w:t>
              <w:br/>
              <w:t xml:space="preserve">    },</w:t>
              <w:br/>
              <w:t xml:space="preserve">    {</w:t>
              <w:br/>
              <w:t xml:space="preserve">      "product_id": "e2345678-89ab-cdef-0123-456789abcdef",</w:t>
              <w:br/>
              <w:t xml:space="preserve">      "quantity": 1,</w:t>
              <w:br/>
              <w:t xml:space="preserve">      "unit_price_mxn": 18.00</w:t>
              <w:br/>
              <w:t xml:space="preserve">    }</w:t>
              <w:br/>
              <w:t xml:space="preserve">  ],</w:t>
              <w:br/>
              <w:t xml:space="preserve">  "payments": [</w:t>
              <w:br/>
              <w:t xml:space="preserve">    { "method": "CASH_MXN", "amount_paid": 100.00 },</w:t>
              <w:br/>
              <w:t xml:space="preserve">    { "method": "SPEI", "amount_paid": 0.00, "reference_code": null }</w:t>
              <w:br/>
              <w:t xml:space="preserve">  ],</w:t>
              <w:br/>
              <w:t xml:space="preserve">  "total_mxn": 89.00,</w:t>
              <w:br/>
              <w:t xml:space="preserve">  "change_given_mxn": 11.00</w:t>
              <w:br/>
              <w:t>}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Arial" w:hAnsi="Arial"/>
          <w:b/>
          <w:color w:val="1A365D"/>
          <w:sz w:val="21"/>
        </w:rPr>
        <w:t xml:space="preserve">POST /api/v1/cash/close-session — </w:t>
      </w:r>
      <w:r>
        <w:rPr>
          <w:rFonts w:ascii="Arial" w:hAnsi="Arial"/>
          <w:i w:val="0"/>
          <w:color w:val="2D3748"/>
          <w:sz w:val="21"/>
        </w:rPr>
        <w:t>Arqueo y Cierre de Caja con Denominaciones Banxico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7FAFC"/>
                <w:sz w:val="19"/>
              </w:rPr>
              <w:t>{</w:t>
              <w:br/>
              <w:t xml:space="preserve">  "cash_session_id": "7b9e1022-3c4d-4e5f-a6b7-8c9d0e1f2a3b",</w:t>
              <w:br/>
              <w:t xml:space="preserve">  "physical_counts": {</w:t>
              <w:br/>
              <w:t xml:space="preserve">    "currency": "MXN",</w:t>
              <w:br/>
              <w:t xml:space="preserve">    "bills": { "1000": 1, "500": 3, "200": 4, "100": 8, "50": 10, "20": 15 },</w:t>
              <w:br/>
              <w:t xml:space="preserve">    "coins": { "20": 2, "10": 10, "5": 20, "2": 25, "1": 30, "0.50": 20 },</w:t>
              <w:br/>
              <w:t xml:space="preserve">    "total_physical_cash": 4500.00</w:t>
              <w:br/>
              <w:t xml:space="preserve">  },</w:t>
              <w:br/>
              <w:t xml:space="preserve">  "digital_payments_summary": {</w:t>
              <w:br/>
              <w:t xml:space="preserve">    "spei_total": 850.00,</w:t>
              <w:br/>
              <w:t xml:space="preserve">    "tpv_card_total": 1200.00,</w:t>
              <w:br/>
              <w:t xml:space="preserve">    "codi_total": 0.00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Arial" w:hAnsi="Arial"/>
          <w:b/>
          <w:color w:val="1A365D"/>
          <w:sz w:val="36"/>
        </w:rPr>
        <w:t>6. Hoja de Ruta e Implementación Técnica</w:t>
      </w:r>
    </w:p>
    <w:p>
      <w:pPr>
        <w:spacing w:after="120" w:line="276" w:lineRule="auto"/>
      </w:pPr>
      <w:r>
        <w:rPr>
          <w:rFonts w:ascii="Arial" w:hAnsi="Arial"/>
          <w:i w:val="0"/>
          <w:color w:val="2D3748"/>
          <w:sz w:val="21"/>
        </w:rPr>
        <w:t>Para ejecutar la transición en el código fuente de manera ordenada, se establece el siguiente cronograma de 4 semanas: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Semana</w:t>
            </w:r>
          </w:p>
        </w:tc>
        <w:tc>
          <w:tcPr>
            <w:tcW w:type="dxa" w:w="3168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Módulo / Capa Affected</w:t>
            </w:r>
          </w:p>
        </w:tc>
        <w:tc>
          <w:tcPr>
            <w:tcW w:type="dxa" w:w="4752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Tareas Técnicas Entregables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A365D"/>
                <w:sz w:val="18"/>
              </w:rPr>
              <w:t>Semana 1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Base de Datos &amp; Core Backend</w:t>
            </w:r>
          </w:p>
        </w:tc>
        <w:tc>
          <w:tcPr>
            <w:tcW w:type="dxa" w:w="475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Ejecutar script de migración DDL en PostgreSQL. Actualizar Pydantic Schemas y SQLAlchemy Models a MXN. Eliminar llamada obligatoria a tasa VES.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A365D"/>
                <w:sz w:val="18"/>
              </w:rPr>
              <w:t>Semana 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API FastAPI &amp; Checkout POS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Actualizar endpoints `/sales/checkout` y `/cash/close-session`. Refactorizar lógica de cálculo de vuelto en MXN e integrar la tabla de denominaciones Banxico.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A365D"/>
                <w:sz w:val="18"/>
              </w:rPr>
              <w:t>Semana 3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Frontend Flutter Mobile/Web</w:t>
            </w:r>
          </w:p>
        </w:tc>
        <w:tc>
          <w:tcPr>
            <w:tcW w:type="dxa" w:w="475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Actualizar la interfaz de usuario en Flutter: formatos de moneda `$ MXN`, widgets de arqueo Banxico, remoción del toggle bimoneda obligatorio y prueba del modo caché local.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A365D"/>
                <w:sz w:val="18"/>
              </w:rPr>
              <w:t>Semana 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Panel SaaS &amp; Piloto México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2D3748"/>
                <w:sz w:val="18"/>
              </w:rPr>
              <w:t>Integrar webhook/interfaz de validación SPEI/OXXO para suscripciones. Realizar pruebas integrales de campo con 3 tienditas de abarrotes piloto en México.</w:t>
            </w:r>
          </w:p>
        </w:tc>
      </w:tr>
    </w:tbl>
    <w:p>
      <w:pPr>
        <w:spacing w:after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Aprobado por Arch/Engineering:</w:t>
              <w:br/>
            </w:r>
            <w:r>
              <w:rPr>
                <w:i/>
              </w:rPr>
              <w:t>Alan — Co-Fundador &amp; Lead Architect</w:t>
            </w:r>
          </w:p>
        </w:tc>
        <w:tc>
          <w:tcPr>
            <w:tcW w:type="dxa" w:w="4680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Aprobado por Product/Operations:</w:t>
              <w:br/>
            </w:r>
            <w:r>
              <w:rPr>
                <w:i/>
              </w:rPr>
              <w:t>Eduardo — Co-Fundador &amp; Lead Operations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