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02B37" w14:textId="621BDCA2" w:rsidR="00E77837" w:rsidRPr="008E00E2" w:rsidRDefault="00276EA2">
      <w:pPr>
        <w:rPr>
          <w:b/>
          <w:bCs/>
          <w:sz w:val="32"/>
          <w:szCs w:val="32"/>
        </w:rPr>
      </w:pPr>
      <w:r w:rsidRPr="008E00E2">
        <w:rPr>
          <w:rFonts w:hint="eastAsia"/>
          <w:b/>
          <w:bCs/>
          <w:sz w:val="32"/>
          <w:szCs w:val="32"/>
        </w:rPr>
        <w:t>头脑风暴</w:t>
      </w:r>
    </w:p>
    <w:p w14:paraId="531DAF11" w14:textId="6201512F" w:rsidR="00C72986" w:rsidRDefault="00C72986" w:rsidP="00C72986">
      <w:pPr>
        <w:jc w:val="right"/>
      </w:pPr>
      <w:r>
        <w:rPr>
          <w:rFonts w:hint="eastAsia"/>
        </w:rPr>
        <w:t>---</w:t>
      </w:r>
      <w:r>
        <w:t>2021</w:t>
      </w:r>
      <w:r>
        <w:rPr>
          <w:rFonts w:hint="eastAsia"/>
        </w:rPr>
        <w:t>-</w:t>
      </w:r>
      <w:r>
        <w:t>0</w:t>
      </w:r>
      <w:r w:rsidR="004F19B9">
        <w:t>2</w:t>
      </w:r>
      <w:r>
        <w:rPr>
          <w:rFonts w:hint="eastAsia"/>
        </w:rPr>
        <w:t>-</w:t>
      </w:r>
      <w:r w:rsidR="006215D2">
        <w:t>20</w:t>
      </w:r>
    </w:p>
    <w:p w14:paraId="191DDE7B" w14:textId="451FABA9" w:rsidR="00675912" w:rsidRPr="00B64058" w:rsidRDefault="007A3188">
      <w:pPr>
        <w:rPr>
          <w:b/>
          <w:bCs/>
          <w:color w:val="FF0000"/>
        </w:rPr>
      </w:pPr>
      <w:r>
        <w:rPr>
          <w:rFonts w:hint="eastAsia"/>
          <w:b/>
          <w:bCs/>
          <w:color w:val="FF0000"/>
        </w:rPr>
        <w:t>交易</w:t>
      </w:r>
      <w:r w:rsidR="00E57DB0" w:rsidRPr="00B64058">
        <w:rPr>
          <w:rFonts w:hint="eastAsia"/>
          <w:b/>
          <w:bCs/>
          <w:color w:val="FF0000"/>
        </w:rPr>
        <w:t>市场</w:t>
      </w:r>
      <w:r w:rsidR="00F30EF0" w:rsidRPr="00B64058">
        <w:rPr>
          <w:rFonts w:hint="eastAsia"/>
          <w:b/>
          <w:bCs/>
          <w:color w:val="FF0000"/>
        </w:rPr>
        <w:t>通胀预期的疯狂超出了想象，</w:t>
      </w:r>
      <w:r w:rsidR="00394ACE">
        <w:rPr>
          <w:rFonts w:hint="eastAsia"/>
          <w:b/>
          <w:bCs/>
          <w:color w:val="FF0000"/>
        </w:rPr>
        <w:t>现在开始</w:t>
      </w:r>
      <w:r w:rsidR="00F30EF0" w:rsidRPr="00B64058">
        <w:rPr>
          <w:rFonts w:hint="eastAsia"/>
          <w:b/>
          <w:bCs/>
          <w:color w:val="FF0000"/>
        </w:rPr>
        <w:t>任何经济上的好消息都将是做空</w:t>
      </w:r>
      <w:r w:rsidR="00C975B9">
        <w:rPr>
          <w:rFonts w:hint="eastAsia"/>
          <w:b/>
          <w:bCs/>
          <w:color w:val="FF0000"/>
        </w:rPr>
        <w:t>美股</w:t>
      </w:r>
      <w:r w:rsidR="00F30EF0" w:rsidRPr="00B64058">
        <w:rPr>
          <w:rFonts w:hint="eastAsia"/>
          <w:b/>
          <w:bCs/>
          <w:color w:val="FF0000"/>
        </w:rPr>
        <w:t>的理由</w:t>
      </w:r>
      <w:r w:rsidR="00C03691">
        <w:rPr>
          <w:rFonts w:hint="eastAsia"/>
          <w:b/>
          <w:bCs/>
          <w:color w:val="FF0000"/>
        </w:rPr>
        <w:t>，内盘预期和情绪目前暂时稳定</w:t>
      </w:r>
      <w:r w:rsidR="0034391D">
        <w:rPr>
          <w:rFonts w:hint="eastAsia"/>
          <w:b/>
          <w:bCs/>
          <w:color w:val="FF0000"/>
        </w:rPr>
        <w:t>。</w:t>
      </w:r>
    </w:p>
    <w:p w14:paraId="48CF933D" w14:textId="3E1ADE5D" w:rsidR="00F96ACB" w:rsidRDefault="00F23B03">
      <w:r>
        <w:rPr>
          <w:rFonts w:hint="eastAsia"/>
        </w:rPr>
        <w:t>还记得我们在今年开始的时候观察到通胀的抬头已经给出了预警和担忧</w:t>
      </w:r>
      <w:r w:rsidR="006A5662">
        <w:rPr>
          <w:rFonts w:hint="eastAsia"/>
        </w:rPr>
        <w:t>（当时的市场还是一片祥和，对通胀的讨论还没有引起大量关注</w:t>
      </w:r>
      <w:r w:rsidR="00784F4F">
        <w:rPr>
          <w:rFonts w:hint="eastAsia"/>
        </w:rPr>
        <w:t>，现在似乎是个人都开始参与通胀</w:t>
      </w:r>
      <w:r w:rsidR="00FE069C">
        <w:rPr>
          <w:rFonts w:hint="eastAsia"/>
        </w:rPr>
        <w:t>交易</w:t>
      </w:r>
      <w:r w:rsidR="00784F4F">
        <w:rPr>
          <w:rFonts w:hint="eastAsia"/>
        </w:rPr>
        <w:t>了</w:t>
      </w:r>
      <w:r w:rsidR="006A5662">
        <w:rPr>
          <w:rFonts w:hint="eastAsia"/>
        </w:rPr>
        <w:t>）</w:t>
      </w:r>
      <w:r>
        <w:rPr>
          <w:rFonts w:hint="eastAsia"/>
        </w:rPr>
        <w:t>，但是市场的疯狂还是让我大跌眼镜。</w:t>
      </w:r>
      <w:r w:rsidR="00341E8C">
        <w:rPr>
          <w:rFonts w:hint="eastAsia"/>
        </w:rPr>
        <w:t>我们从以下几个方面来观察目前的通胀程度：</w:t>
      </w:r>
      <w:r w:rsidR="00EA7B51">
        <w:rPr>
          <w:rFonts w:hint="eastAsia"/>
        </w:rPr>
        <w:t>1</w:t>
      </w:r>
      <w:r w:rsidR="00EA7B51">
        <w:rPr>
          <w:rFonts w:hint="eastAsia"/>
        </w:rPr>
        <w:t>，房价和股价（基本对应了金融资产的通胀）</w:t>
      </w:r>
      <w:r w:rsidR="00EA7B51">
        <w:rPr>
          <w:rFonts w:hint="eastAsia"/>
        </w:rPr>
        <w:t>2</w:t>
      </w:r>
      <w:r w:rsidR="00EA7B51">
        <w:rPr>
          <w:rFonts w:hint="eastAsia"/>
        </w:rPr>
        <w:t>，原油和铜（基本对应了目前原材料端的通胀）</w:t>
      </w:r>
      <w:r w:rsidR="00EA7B51">
        <w:rPr>
          <w:rFonts w:hint="eastAsia"/>
        </w:rPr>
        <w:t>3</w:t>
      </w:r>
      <w:r w:rsidR="00EA7B51">
        <w:rPr>
          <w:rFonts w:hint="eastAsia"/>
        </w:rPr>
        <w:t>，棉花和白糖（对应了居民生活端的通胀）</w:t>
      </w:r>
      <w:r w:rsidR="00F905D7">
        <w:rPr>
          <w:rFonts w:hint="eastAsia"/>
        </w:rPr>
        <w:t>。</w:t>
      </w:r>
    </w:p>
    <w:p w14:paraId="76963632" w14:textId="3851411A" w:rsidR="00B7723A" w:rsidRDefault="00B7723A" w:rsidP="00700BA2">
      <w:pPr>
        <w:jc w:val="center"/>
      </w:pPr>
      <w:r>
        <w:rPr>
          <w:noProof/>
        </w:rPr>
        <w:drawing>
          <wp:inline distT="0" distB="0" distL="0" distR="0" wp14:anchorId="6EC86FCC" wp14:editId="17289D09">
            <wp:extent cx="5040000" cy="2880000"/>
            <wp:effectExtent l="0" t="0" r="825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0000" cy="2880000"/>
                    </a:xfrm>
                    <a:prstGeom prst="rect">
                      <a:avLst/>
                    </a:prstGeom>
                  </pic:spPr>
                </pic:pic>
              </a:graphicData>
            </a:graphic>
          </wp:inline>
        </w:drawing>
      </w:r>
    </w:p>
    <w:p w14:paraId="203B4EA6" w14:textId="558B4787" w:rsidR="00B7723A" w:rsidRDefault="00B7723A" w:rsidP="00700BA2">
      <w:pPr>
        <w:jc w:val="center"/>
      </w:pPr>
      <w:r>
        <w:rPr>
          <w:rFonts w:hint="eastAsia"/>
        </w:rPr>
        <w:t>原油周线（回到了</w:t>
      </w:r>
      <w:r>
        <w:rPr>
          <w:rFonts w:hint="eastAsia"/>
        </w:rPr>
        <w:t>1</w:t>
      </w:r>
      <w:r>
        <w:t>8</w:t>
      </w:r>
      <w:r>
        <w:rPr>
          <w:rFonts w:hint="eastAsia"/>
        </w:rPr>
        <w:t>年水平）</w:t>
      </w:r>
    </w:p>
    <w:p w14:paraId="5B43E32D" w14:textId="1C783C49" w:rsidR="00C91B70" w:rsidRDefault="0007297D" w:rsidP="00700BA2">
      <w:pPr>
        <w:jc w:val="center"/>
      </w:pPr>
      <w:r>
        <w:rPr>
          <w:noProof/>
        </w:rPr>
        <w:drawing>
          <wp:inline distT="0" distB="0" distL="0" distR="0" wp14:anchorId="26A28330" wp14:editId="4639A2D7">
            <wp:extent cx="5040000" cy="2880000"/>
            <wp:effectExtent l="0" t="0" r="8255"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0000" cy="2880000"/>
                    </a:xfrm>
                    <a:prstGeom prst="rect">
                      <a:avLst/>
                    </a:prstGeom>
                  </pic:spPr>
                </pic:pic>
              </a:graphicData>
            </a:graphic>
          </wp:inline>
        </w:drawing>
      </w:r>
    </w:p>
    <w:p w14:paraId="4BAD8EB8" w14:textId="42CA4A99" w:rsidR="0007297D" w:rsidRDefault="0007297D" w:rsidP="00700BA2">
      <w:pPr>
        <w:jc w:val="center"/>
      </w:pPr>
      <w:r>
        <w:rPr>
          <w:rFonts w:hint="eastAsia"/>
        </w:rPr>
        <w:t>铜周线（彻底突破）</w:t>
      </w:r>
    </w:p>
    <w:p w14:paraId="659CAE5D" w14:textId="50163638" w:rsidR="006479A7" w:rsidRDefault="0049565B" w:rsidP="00700BA2">
      <w:pPr>
        <w:jc w:val="center"/>
      </w:pPr>
      <w:r>
        <w:rPr>
          <w:noProof/>
        </w:rPr>
        <w:lastRenderedPageBreak/>
        <w:drawing>
          <wp:inline distT="0" distB="0" distL="0" distR="0" wp14:anchorId="5A21CEC0" wp14:editId="37135AD4">
            <wp:extent cx="5040000" cy="2880000"/>
            <wp:effectExtent l="0" t="0" r="8255"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0000" cy="2880000"/>
                    </a:xfrm>
                    <a:prstGeom prst="rect">
                      <a:avLst/>
                    </a:prstGeom>
                  </pic:spPr>
                </pic:pic>
              </a:graphicData>
            </a:graphic>
          </wp:inline>
        </w:drawing>
      </w:r>
    </w:p>
    <w:p w14:paraId="7F2AE851" w14:textId="5DA4C028" w:rsidR="0049565B" w:rsidRDefault="0049565B" w:rsidP="00700BA2">
      <w:pPr>
        <w:jc w:val="center"/>
      </w:pPr>
      <w:r>
        <w:rPr>
          <w:rFonts w:hint="eastAsia"/>
        </w:rPr>
        <w:t>棉花周线（来到</w:t>
      </w:r>
      <w:r>
        <w:rPr>
          <w:rFonts w:hint="eastAsia"/>
        </w:rPr>
        <w:t>7</w:t>
      </w:r>
      <w:r>
        <w:rPr>
          <w:rFonts w:hint="eastAsia"/>
        </w:rPr>
        <w:t>年新高）</w:t>
      </w:r>
    </w:p>
    <w:p w14:paraId="146C99A6" w14:textId="162EE4CB" w:rsidR="00E15C08" w:rsidRDefault="00E15C08" w:rsidP="00700BA2">
      <w:pPr>
        <w:jc w:val="center"/>
      </w:pPr>
      <w:r>
        <w:rPr>
          <w:noProof/>
        </w:rPr>
        <w:drawing>
          <wp:inline distT="0" distB="0" distL="0" distR="0" wp14:anchorId="3BEA29BE" wp14:editId="4715998C">
            <wp:extent cx="5040000" cy="2880000"/>
            <wp:effectExtent l="0" t="0" r="8255"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0000" cy="2880000"/>
                    </a:xfrm>
                    <a:prstGeom prst="rect">
                      <a:avLst/>
                    </a:prstGeom>
                  </pic:spPr>
                </pic:pic>
              </a:graphicData>
            </a:graphic>
          </wp:inline>
        </w:drawing>
      </w:r>
    </w:p>
    <w:p w14:paraId="06BE8CE0" w14:textId="0820B288" w:rsidR="00711DC5" w:rsidRDefault="00E15C08" w:rsidP="00700BA2">
      <w:pPr>
        <w:jc w:val="center"/>
      </w:pPr>
      <w:r>
        <w:rPr>
          <w:rFonts w:hint="eastAsia"/>
        </w:rPr>
        <w:t>白糖周线（刚刚突破）</w:t>
      </w:r>
    </w:p>
    <w:p w14:paraId="6CAEA737" w14:textId="072446A7" w:rsidR="009A4254" w:rsidRDefault="009A4254" w:rsidP="009A4254">
      <w:pPr>
        <w:pStyle w:val="ListParagraph"/>
        <w:numPr>
          <w:ilvl w:val="0"/>
          <w:numId w:val="1"/>
        </w:numPr>
      </w:pPr>
      <w:r>
        <w:rPr>
          <w:rFonts w:hint="eastAsia"/>
        </w:rPr>
        <w:t>美国地产成交量从去年开始上涨超过</w:t>
      </w:r>
      <w:r>
        <w:rPr>
          <w:rFonts w:hint="eastAsia"/>
        </w:rPr>
        <w:t>1</w:t>
      </w:r>
      <w:r>
        <w:t>0</w:t>
      </w:r>
      <w:r>
        <w:rPr>
          <w:rFonts w:hint="eastAsia"/>
        </w:rPr>
        <w:t>%</w:t>
      </w:r>
      <w:r>
        <w:rPr>
          <w:rFonts w:hint="eastAsia"/>
        </w:rPr>
        <w:t>，地产价格普遍上涨</w:t>
      </w:r>
      <w:r>
        <w:t>9</w:t>
      </w:r>
      <w:r>
        <w:rPr>
          <w:rFonts w:hint="eastAsia"/>
        </w:rPr>
        <w:t>%</w:t>
      </w:r>
      <w:r>
        <w:rPr>
          <w:rFonts w:hint="eastAsia"/>
        </w:rPr>
        <w:t>。</w:t>
      </w:r>
      <w:r w:rsidR="009B79D5">
        <w:rPr>
          <w:rFonts w:hint="eastAsia"/>
        </w:rPr>
        <w:t>美股就更不用说了已经连创新高。</w:t>
      </w:r>
    </w:p>
    <w:p w14:paraId="15B73722" w14:textId="0F4D08CE" w:rsidR="00195BE7" w:rsidRDefault="003B48CA" w:rsidP="009A4254">
      <w:pPr>
        <w:pStyle w:val="ListParagraph"/>
        <w:numPr>
          <w:ilvl w:val="0"/>
          <w:numId w:val="1"/>
        </w:numPr>
      </w:pPr>
      <w:r>
        <w:rPr>
          <w:rFonts w:hint="eastAsia"/>
        </w:rPr>
        <w:t>再看原油和铜的价格。</w:t>
      </w:r>
      <w:r w:rsidR="00DF15B3">
        <w:rPr>
          <w:rFonts w:hint="eastAsia"/>
        </w:rPr>
        <w:t>本周双双走出新高，同时铜直接打破了最近</w:t>
      </w:r>
      <w:r w:rsidR="00DF15B3">
        <w:rPr>
          <w:rFonts w:hint="eastAsia"/>
        </w:rPr>
        <w:t>8</w:t>
      </w:r>
      <w:r w:rsidR="00DF15B3">
        <w:rPr>
          <w:rFonts w:hint="eastAsia"/>
        </w:rPr>
        <w:t>年的高点，基本上要回到</w:t>
      </w:r>
      <w:r w:rsidR="00DF15B3">
        <w:rPr>
          <w:rFonts w:hint="eastAsia"/>
        </w:rPr>
        <w:t>1</w:t>
      </w:r>
      <w:r w:rsidR="00DF15B3">
        <w:t>2</w:t>
      </w:r>
      <w:r w:rsidR="00DF15B3">
        <w:rPr>
          <w:rFonts w:hint="eastAsia"/>
        </w:rPr>
        <w:t>年左右的历史高点了。</w:t>
      </w:r>
      <w:r w:rsidR="00106CD5">
        <w:rPr>
          <w:rFonts w:hint="eastAsia"/>
        </w:rPr>
        <w:t>那可是大基建推起来的高点。</w:t>
      </w:r>
      <w:r w:rsidR="00CA463E">
        <w:rPr>
          <w:rFonts w:hint="eastAsia"/>
        </w:rPr>
        <w:t>原油</w:t>
      </w:r>
      <w:r w:rsidR="003433BC">
        <w:rPr>
          <w:rFonts w:hint="eastAsia"/>
        </w:rPr>
        <w:t>已经回到了</w:t>
      </w:r>
      <w:r w:rsidR="003433BC">
        <w:rPr>
          <w:rFonts w:hint="eastAsia"/>
        </w:rPr>
        <w:t>1</w:t>
      </w:r>
      <w:r w:rsidR="003433BC">
        <w:t>8</w:t>
      </w:r>
      <w:r w:rsidR="003433BC">
        <w:rPr>
          <w:rFonts w:hint="eastAsia"/>
        </w:rPr>
        <w:t>年左右的价格</w:t>
      </w:r>
      <w:r w:rsidR="000170F5">
        <w:rPr>
          <w:rFonts w:hint="eastAsia"/>
        </w:rPr>
        <w:t>，</w:t>
      </w:r>
      <w:r w:rsidR="006717A2">
        <w:rPr>
          <w:rFonts w:hint="eastAsia"/>
        </w:rPr>
        <w:t>从疫情低点以来上涨了</w:t>
      </w:r>
      <w:r w:rsidR="006717A2">
        <w:rPr>
          <w:rFonts w:hint="eastAsia"/>
        </w:rPr>
        <w:t>6</w:t>
      </w:r>
      <w:r w:rsidR="006717A2">
        <w:t>0</w:t>
      </w:r>
      <w:r w:rsidR="006717A2">
        <w:rPr>
          <w:rFonts w:hint="eastAsia"/>
        </w:rPr>
        <w:t>%</w:t>
      </w:r>
      <w:r w:rsidR="00BD4B86">
        <w:rPr>
          <w:rFonts w:hint="eastAsia"/>
        </w:rPr>
        <w:t>。</w:t>
      </w:r>
    </w:p>
    <w:p w14:paraId="7AD71EC5" w14:textId="38B26E06" w:rsidR="008601B0" w:rsidRDefault="008601B0" w:rsidP="009A4254">
      <w:pPr>
        <w:pStyle w:val="ListParagraph"/>
        <w:numPr>
          <w:ilvl w:val="0"/>
          <w:numId w:val="1"/>
        </w:numPr>
      </w:pPr>
      <w:r>
        <w:rPr>
          <w:rFonts w:hint="eastAsia"/>
        </w:rPr>
        <w:t>再看通胀传导的末端商品，棉花和白糖也旱地拔葱，我们之前的文章讨论过这两个商品，当时白糖还没有起色，但是最近两周白糖也开始狂飙突进了。</w:t>
      </w:r>
    </w:p>
    <w:p w14:paraId="3033B1F9" w14:textId="4A03AAE4" w:rsidR="009058B4" w:rsidRDefault="009058B4" w:rsidP="009058B4">
      <w:r>
        <w:rPr>
          <w:rFonts w:hint="eastAsia"/>
        </w:rPr>
        <w:t>然后市场最近两周才开始真正买账，并开始疯狂交易这种通胀预期，</w:t>
      </w:r>
      <w:r w:rsidR="00D025CC">
        <w:rPr>
          <w:rFonts w:hint="eastAsia"/>
        </w:rPr>
        <w:t>我们看最近美国长端利率的变化：</w:t>
      </w:r>
    </w:p>
    <w:p w14:paraId="09BFCCF7" w14:textId="625BF489" w:rsidR="00D025CC" w:rsidRDefault="001C1E7A" w:rsidP="00056627">
      <w:pPr>
        <w:jc w:val="center"/>
      </w:pPr>
      <w:r>
        <w:rPr>
          <w:rFonts w:hint="eastAsia"/>
        </w:rPr>
        <w:t>中美利差开始收窄，美国利率快速抬头</w:t>
      </w:r>
    </w:p>
    <w:p w14:paraId="7CC109BA" w14:textId="31D4682F" w:rsidR="001C1E7A" w:rsidRDefault="001C1E7A" w:rsidP="00056627">
      <w:pPr>
        <w:jc w:val="center"/>
      </w:pPr>
      <w:r>
        <w:rPr>
          <w:noProof/>
        </w:rPr>
        <w:lastRenderedPageBreak/>
        <w:drawing>
          <wp:inline distT="0" distB="0" distL="0" distR="0" wp14:anchorId="61AF4CEB" wp14:editId="44EA6FD4">
            <wp:extent cx="6480000" cy="1440000"/>
            <wp:effectExtent l="0" t="0" r="0" b="8255"/>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0" cy="1440000"/>
                    </a:xfrm>
                    <a:prstGeom prst="rect">
                      <a:avLst/>
                    </a:prstGeom>
                  </pic:spPr>
                </pic:pic>
              </a:graphicData>
            </a:graphic>
          </wp:inline>
        </w:drawing>
      </w:r>
    </w:p>
    <w:p w14:paraId="3CADA7F8" w14:textId="1266EED6" w:rsidR="00BD1E40" w:rsidRDefault="00D9577B" w:rsidP="00056627">
      <w:pPr>
        <w:jc w:val="center"/>
      </w:pPr>
      <w:r>
        <w:rPr>
          <w:rFonts w:hint="eastAsia"/>
        </w:rPr>
        <w:t>再看最近两周美国长端利率变化，十分迅速又暴力</w:t>
      </w:r>
    </w:p>
    <w:p w14:paraId="11E533A7" w14:textId="52DA9CEA" w:rsidR="00D9577B" w:rsidRDefault="00033EF6" w:rsidP="00056627">
      <w:pPr>
        <w:jc w:val="center"/>
      </w:pPr>
      <w:r>
        <w:rPr>
          <w:noProof/>
        </w:rPr>
        <w:drawing>
          <wp:inline distT="0" distB="0" distL="0" distR="0" wp14:anchorId="70E85B79" wp14:editId="4BFD6363">
            <wp:extent cx="5040000" cy="2880000"/>
            <wp:effectExtent l="0" t="0" r="8255"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000" cy="2880000"/>
                    </a:xfrm>
                    <a:prstGeom prst="rect">
                      <a:avLst/>
                    </a:prstGeom>
                  </pic:spPr>
                </pic:pic>
              </a:graphicData>
            </a:graphic>
          </wp:inline>
        </w:drawing>
      </w:r>
    </w:p>
    <w:p w14:paraId="27C28F95" w14:textId="0A371267" w:rsidR="00033EF6" w:rsidRDefault="00033EF6" w:rsidP="00056627">
      <w:pPr>
        <w:jc w:val="center"/>
      </w:pPr>
      <w:r>
        <w:rPr>
          <w:rFonts w:hint="eastAsia"/>
        </w:rPr>
        <w:t>美</w:t>
      </w:r>
      <w:r>
        <w:rPr>
          <w:rFonts w:hint="eastAsia"/>
        </w:rPr>
        <w:t>3</w:t>
      </w:r>
      <w:r>
        <w:t>0</w:t>
      </w:r>
      <w:r>
        <w:rPr>
          <w:rFonts w:hint="eastAsia"/>
        </w:rPr>
        <w:t>年期利率</w:t>
      </w:r>
    </w:p>
    <w:p w14:paraId="7DC9AAB8" w14:textId="3175EEC0" w:rsidR="00033EF6" w:rsidRDefault="004C2BB8" w:rsidP="009058B4">
      <w:r>
        <w:rPr>
          <w:rFonts w:hint="eastAsia"/>
        </w:rPr>
        <w:t>目前的水平回到了</w:t>
      </w:r>
      <w:r>
        <w:rPr>
          <w:rFonts w:hint="eastAsia"/>
        </w:rPr>
        <w:t>1</w:t>
      </w:r>
      <w:r>
        <w:t>7</w:t>
      </w:r>
      <w:r>
        <w:rPr>
          <w:rFonts w:hint="eastAsia"/>
        </w:rPr>
        <w:t>-</w:t>
      </w:r>
      <w:r>
        <w:t>18</w:t>
      </w:r>
      <w:r>
        <w:rPr>
          <w:rFonts w:hint="eastAsia"/>
        </w:rPr>
        <w:t>年初的感觉，在往后走就是回到整个</w:t>
      </w:r>
      <w:r>
        <w:rPr>
          <w:rFonts w:hint="eastAsia"/>
        </w:rPr>
        <w:t>1</w:t>
      </w:r>
      <w:r>
        <w:t>8</w:t>
      </w:r>
      <w:r>
        <w:rPr>
          <w:rFonts w:hint="eastAsia"/>
        </w:rPr>
        <w:t>年的水平了，那个时候大家也都还记得同样是交易通胀预期的环境。所以现在的市场明显开始了一波对通胀的后知后觉然后短时间内疯狂</w:t>
      </w:r>
      <w:r>
        <w:rPr>
          <w:rFonts w:hint="eastAsia"/>
        </w:rPr>
        <w:t>price-in</w:t>
      </w:r>
      <w:r>
        <w:rPr>
          <w:rFonts w:hint="eastAsia"/>
        </w:rPr>
        <w:t>。</w:t>
      </w:r>
    </w:p>
    <w:p w14:paraId="3657A5F2" w14:textId="1892B015" w:rsidR="00752966" w:rsidRDefault="006152FD" w:rsidP="00752966">
      <w:r>
        <w:rPr>
          <w:rFonts w:hint="eastAsia"/>
        </w:rPr>
        <w:t>***</w:t>
      </w:r>
      <w:r w:rsidR="00752966">
        <w:rPr>
          <w:rFonts w:hint="eastAsia"/>
        </w:rPr>
        <w:t>市场正在一步一步的对通胀预期交易表现得疯狂，完全是教科书式沿着通胀传到路径在一步一步的交易这个链条上的商品。</w:t>
      </w:r>
      <w:r w:rsidR="002A64DA">
        <w:rPr>
          <w:rFonts w:hint="eastAsia"/>
        </w:rPr>
        <w:t>金融端是最先反映的品种，然后市场从原材料端开始一点一点的传导到最终消费端。</w:t>
      </w:r>
      <w:r w:rsidR="009F34BB">
        <w:rPr>
          <w:rFonts w:hint="eastAsia"/>
        </w:rPr>
        <w:t>按照这个路径推演下去，最后就是泰勒规则被触发，联储给出的预期错误，导致政策提前转向。</w:t>
      </w:r>
    </w:p>
    <w:p w14:paraId="17828460" w14:textId="6BA383A0" w:rsidR="00F30EF0" w:rsidRDefault="00F905D7">
      <w:r>
        <w:rPr>
          <w:rFonts w:hint="eastAsia"/>
        </w:rPr>
        <w:t>这几个维度看下来目前市场对通胀的预期已经接近滞涨的感觉了，完全不是联储给出的“温和性通胀”的结论。</w:t>
      </w:r>
      <w:r w:rsidR="00DF44E9">
        <w:rPr>
          <w:rFonts w:hint="eastAsia"/>
        </w:rPr>
        <w:t>我们都知道联储的工作其实就是稳定货币发行和物价的，他是不直接参与经济管理的，那是政府的职责。所以联储一直以来都是使用泰勒规则对通胀预期进行货币方面的调整。从去年疫情以来基本上货币的发行都是基于通胀低迷</w:t>
      </w:r>
      <w:r w:rsidR="00BA0E36">
        <w:rPr>
          <w:rFonts w:hint="eastAsia"/>
        </w:rPr>
        <w:t>，泰勒规则允许发行更多货币，同时联储去年以来确实做了一些“违背原则”的事情比如直接支持了政府财政部的救济方案，导致财政负债直接货币化。这是</w:t>
      </w:r>
      <w:r w:rsidR="00BA0E36">
        <w:rPr>
          <w:rFonts w:hint="eastAsia"/>
        </w:rPr>
        <w:t>MMT</w:t>
      </w:r>
      <w:r w:rsidR="00BA0E36">
        <w:rPr>
          <w:rFonts w:hint="eastAsia"/>
        </w:rPr>
        <w:t>理论的实践，让市场一度觉得联储已经丧失了独立性变成了政府的走狗。美国日本化在那段时间喧嚣尘上。</w:t>
      </w:r>
      <w:r w:rsidR="008F7B63">
        <w:rPr>
          <w:rFonts w:hint="eastAsia"/>
        </w:rPr>
        <w:t>但是从上面的具体数字已经可以看到，通胀预期明显不是所谓的“温和通胀”了。</w:t>
      </w:r>
      <w:r w:rsidR="00AC6E7F">
        <w:rPr>
          <w:rFonts w:hint="eastAsia"/>
        </w:rPr>
        <w:t>假定我们还是相信联储独立性和保持它的泰勒规则来稳定货币发行的基本职能的。</w:t>
      </w:r>
      <w:r w:rsidR="00B51D26">
        <w:rPr>
          <w:rFonts w:hint="eastAsia"/>
        </w:rPr>
        <w:t>之后大概率会发生财政政策的转向，不然的话</w:t>
      </w:r>
      <w:r w:rsidR="00231D2F">
        <w:rPr>
          <w:rFonts w:hint="eastAsia"/>
        </w:rPr>
        <w:t>地产，股票和</w:t>
      </w:r>
      <w:r w:rsidR="00B51D26">
        <w:rPr>
          <w:rFonts w:hint="eastAsia"/>
        </w:rPr>
        <w:t>大宗商品</w:t>
      </w:r>
      <w:r w:rsidR="00231D2F">
        <w:rPr>
          <w:rFonts w:hint="eastAsia"/>
        </w:rPr>
        <w:t>价格将会失控</w:t>
      </w:r>
      <w:r w:rsidR="00304815">
        <w:rPr>
          <w:rFonts w:hint="eastAsia"/>
        </w:rPr>
        <w:t>，</w:t>
      </w:r>
      <w:r w:rsidR="00651A66">
        <w:rPr>
          <w:rFonts w:hint="eastAsia"/>
        </w:rPr>
        <w:t>市场的疯狂</w:t>
      </w:r>
      <w:r w:rsidR="00304815">
        <w:rPr>
          <w:rFonts w:hint="eastAsia"/>
        </w:rPr>
        <w:t>往往超出人们的预计的。</w:t>
      </w:r>
    </w:p>
    <w:p w14:paraId="69C63767" w14:textId="71B562FB" w:rsidR="00892C03" w:rsidRDefault="00892C03" w:rsidP="00892C03">
      <w:r>
        <w:rPr>
          <w:rFonts w:hint="eastAsia"/>
        </w:rPr>
        <w:t>我们大概回顾一下</w:t>
      </w:r>
      <w:r>
        <w:rPr>
          <w:rFonts w:hint="eastAsia"/>
        </w:rPr>
        <w:t>9</w:t>
      </w:r>
      <w:r>
        <w:t>0</w:t>
      </w:r>
      <w:r>
        <w:rPr>
          <w:rFonts w:hint="eastAsia"/>
        </w:rPr>
        <w:t>年，</w:t>
      </w:r>
      <w:r>
        <w:rPr>
          <w:rFonts w:hint="eastAsia"/>
        </w:rPr>
        <w:t>9</w:t>
      </w:r>
      <w:r>
        <w:t>8</w:t>
      </w:r>
      <w:r>
        <w:rPr>
          <w:rFonts w:hint="eastAsia"/>
        </w:rPr>
        <w:t>年的市场泡沫，其实跟现在的没有什么太大差别，都是初期市场处在特别宽松的货币环境，然后出发了资产价格过度膨胀，联储开始缓慢加息，最终达到某一的极值的时候市场“恍然大悟”直接崩盘然后一地鸡毛。</w:t>
      </w:r>
      <w:r w:rsidR="00046C6A">
        <w:rPr>
          <w:rFonts w:hint="eastAsia"/>
        </w:rPr>
        <w:t>那么现在最应该注意的是什么呢，当然是货币政策会不会开始转向。</w:t>
      </w:r>
      <w:r w:rsidR="000028DD">
        <w:rPr>
          <w:rFonts w:hint="eastAsia"/>
        </w:rPr>
        <w:t>那么这种转向有什么预兆吗？有！现在的情况是大宗商品大幅上涨，已经蔓延到了生活终端，但是经济指标还是十分低迷，联储最近几年越来越多的插手经济运行，导致他们不太愿意在经济不好的时候主动刺破泡沫。（这是不对的，但是我们不讨论</w:t>
      </w:r>
      <w:r w:rsidR="000028DD">
        <w:rPr>
          <w:rFonts w:hint="eastAsia"/>
        </w:rPr>
        <w:lastRenderedPageBreak/>
        <w:t>这个了。。。）</w:t>
      </w:r>
      <w:r w:rsidR="001E0CC6">
        <w:rPr>
          <w:rFonts w:hint="eastAsia"/>
        </w:rPr>
        <w:t>那么一旦经济指标稍有好转市场大概率会开始</w:t>
      </w:r>
      <w:r w:rsidR="001E0CC6">
        <w:rPr>
          <w:rFonts w:hint="eastAsia"/>
        </w:rPr>
        <w:t>price-in</w:t>
      </w:r>
      <w:r w:rsidR="001E0CC6">
        <w:rPr>
          <w:rFonts w:hint="eastAsia"/>
        </w:rPr>
        <w:t>联储转向的预期。从现在的美债收益率盘上来看已经开始了“填坑”，让收益率回到</w:t>
      </w:r>
      <w:r w:rsidR="001E0CC6">
        <w:rPr>
          <w:rFonts w:hint="eastAsia"/>
        </w:rPr>
        <w:t>1</w:t>
      </w:r>
      <w:r w:rsidR="001E0CC6">
        <w:t>8</w:t>
      </w:r>
      <w:r w:rsidR="001E0CC6">
        <w:rPr>
          <w:rFonts w:hint="eastAsia"/>
        </w:rPr>
        <w:t>年水平，之后会怎么走就看经济指标了，好的经济指标肯定会加速这种</w:t>
      </w:r>
      <w:r w:rsidR="001E0CC6">
        <w:rPr>
          <w:rFonts w:hint="eastAsia"/>
        </w:rPr>
        <w:t>price-in</w:t>
      </w:r>
      <w:r w:rsidR="001E0CC6">
        <w:rPr>
          <w:rFonts w:hint="eastAsia"/>
        </w:rPr>
        <w:t>，然后中美利差快速收窄，资金再次回流。</w:t>
      </w:r>
      <w:r w:rsidR="00047154">
        <w:rPr>
          <w:rFonts w:hint="eastAsia"/>
        </w:rPr>
        <w:t>货币走势因为利率走势的改变开始改变，国际市场间热钱流动转向，</w:t>
      </w:r>
      <w:r w:rsidR="00B34336">
        <w:rPr>
          <w:rFonts w:hint="eastAsia"/>
        </w:rPr>
        <w:t>股市开始崩溃，商品开始掉头，重新回到“</w:t>
      </w:r>
      <w:r w:rsidR="00F600A0">
        <w:rPr>
          <w:rFonts w:hint="eastAsia"/>
        </w:rPr>
        <w:t>现金为王</w:t>
      </w:r>
      <w:r w:rsidR="00B34336">
        <w:rPr>
          <w:rFonts w:hint="eastAsia"/>
        </w:rPr>
        <w:t>”</w:t>
      </w:r>
      <w:r w:rsidR="00F600A0">
        <w:rPr>
          <w:rFonts w:hint="eastAsia"/>
        </w:rPr>
        <w:t>的时代。</w:t>
      </w:r>
      <w:r w:rsidR="00BC51AC">
        <w:rPr>
          <w:rFonts w:hint="eastAsia"/>
        </w:rPr>
        <w:t>我们看到这就形成新的一轮投资时钟。</w:t>
      </w:r>
      <w:r w:rsidR="0067342A">
        <w:rPr>
          <w:rFonts w:hint="eastAsia"/>
        </w:rPr>
        <w:t>很直观的感受就是投资时钟现在转动的速度是越来越快了，以前一轮完整的宽松</w:t>
      </w:r>
      <w:r w:rsidR="0067342A">
        <w:rPr>
          <w:rFonts w:hint="eastAsia"/>
        </w:rPr>
        <w:t>-&gt;</w:t>
      </w:r>
      <w:r w:rsidR="0067342A">
        <w:rPr>
          <w:rFonts w:hint="eastAsia"/>
        </w:rPr>
        <w:t>股市疯狂</w:t>
      </w:r>
      <w:r w:rsidR="0067342A">
        <w:rPr>
          <w:rFonts w:hint="eastAsia"/>
        </w:rPr>
        <w:t>-&gt;</w:t>
      </w:r>
      <w:r w:rsidR="0067342A">
        <w:rPr>
          <w:rFonts w:hint="eastAsia"/>
        </w:rPr>
        <w:t>商品疯狂</w:t>
      </w:r>
      <w:r w:rsidR="0067342A">
        <w:rPr>
          <w:rFonts w:hint="eastAsia"/>
        </w:rPr>
        <w:t>-&gt;</w:t>
      </w:r>
      <w:r w:rsidR="0067342A">
        <w:rPr>
          <w:rFonts w:hint="eastAsia"/>
        </w:rPr>
        <w:t>收紧</w:t>
      </w:r>
      <w:r w:rsidR="0067342A">
        <w:rPr>
          <w:rFonts w:hint="eastAsia"/>
        </w:rPr>
        <w:t>-&gt;</w:t>
      </w:r>
      <w:r w:rsidR="0067342A">
        <w:rPr>
          <w:rFonts w:hint="eastAsia"/>
        </w:rPr>
        <w:t>股市崩溃</w:t>
      </w:r>
      <w:r w:rsidR="0067342A">
        <w:rPr>
          <w:rFonts w:hint="eastAsia"/>
        </w:rPr>
        <w:t>-&gt;</w:t>
      </w:r>
      <w:r w:rsidR="0067342A">
        <w:rPr>
          <w:rFonts w:hint="eastAsia"/>
        </w:rPr>
        <w:t>商品崩溃大概需要</w:t>
      </w:r>
      <w:r w:rsidR="0067342A">
        <w:rPr>
          <w:rFonts w:hint="eastAsia"/>
        </w:rPr>
        <w:t>5</w:t>
      </w:r>
      <w:r w:rsidR="0067342A">
        <w:rPr>
          <w:rFonts w:hint="eastAsia"/>
        </w:rPr>
        <w:t>年，现在似乎</w:t>
      </w:r>
      <w:r w:rsidR="0067342A">
        <w:rPr>
          <w:rFonts w:hint="eastAsia"/>
        </w:rPr>
        <w:t>1-</w:t>
      </w:r>
      <w:r w:rsidR="0067342A">
        <w:t>2</w:t>
      </w:r>
      <w:r w:rsidR="0067342A">
        <w:rPr>
          <w:rFonts w:hint="eastAsia"/>
        </w:rPr>
        <w:t>年就能完成一次完整的循环。真的是吸毒的计量越来越大，毒品的作用和持续时间却越来越短啊。</w:t>
      </w:r>
    </w:p>
    <w:p w14:paraId="56A33A02" w14:textId="31F0E887" w:rsidR="00613DCC" w:rsidRDefault="00613DCC" w:rsidP="00892C03">
      <w:r>
        <w:rPr>
          <w:rFonts w:hint="eastAsia"/>
        </w:rPr>
        <w:t>现在最值得关注的就是美债收益率的走势了，</w:t>
      </w:r>
      <w:r w:rsidR="00D63787">
        <w:rPr>
          <w:rFonts w:hint="eastAsia"/>
        </w:rPr>
        <w:t>本周债券暴跌的时候，第二天美元出现了一波躁动，短期内大幅拉升，但是第二天就有全部回吐了涨幅</w:t>
      </w:r>
      <w:r w:rsidR="007B4457">
        <w:rPr>
          <w:rFonts w:hint="eastAsia"/>
        </w:rPr>
        <w:t>，反弹再次失败，同时人民币也没有明显的转向迹象。</w:t>
      </w:r>
      <w:r w:rsidR="00A47B94">
        <w:rPr>
          <w:rFonts w:hint="eastAsia"/>
        </w:rPr>
        <w:t>台币甚至走出了新高。</w:t>
      </w:r>
      <w:r w:rsidR="00EF349B">
        <w:rPr>
          <w:rFonts w:hint="eastAsia"/>
        </w:rPr>
        <w:t>整个新兴市场方面都是乐观情绪。</w:t>
      </w:r>
      <w:r w:rsidR="006C0B71">
        <w:rPr>
          <w:rFonts w:hint="eastAsia"/>
        </w:rPr>
        <w:t>就此来看</w:t>
      </w:r>
      <w:r w:rsidR="00F914FE">
        <w:rPr>
          <w:rFonts w:hint="eastAsia"/>
        </w:rPr>
        <w:t>目前的交易还是停留在预期的斗争，没有进行国际市场间的共识和扩散。</w:t>
      </w:r>
      <w:r w:rsidR="00193E19">
        <w:rPr>
          <w:rFonts w:hint="eastAsia"/>
        </w:rPr>
        <w:t>所以内盘股市还是没问题的，美股也还暂时稳定。</w:t>
      </w:r>
    </w:p>
    <w:p w14:paraId="021562A8" w14:textId="39949C73" w:rsidR="00124E18" w:rsidRDefault="00124E18" w:rsidP="00892C03">
      <w:r>
        <w:rPr>
          <w:rFonts w:hint="eastAsia"/>
        </w:rPr>
        <w:t>准备关注可能出现的机会吧，等待利率确定上行之后</w:t>
      </w:r>
      <w:r w:rsidR="00E25D44">
        <w:rPr>
          <w:rFonts w:hint="eastAsia"/>
        </w:rPr>
        <w:t>（大概最近一两个月会有个定论）</w:t>
      </w:r>
      <w:r w:rsidR="00AC2CBA">
        <w:rPr>
          <w:rFonts w:hint="eastAsia"/>
        </w:rPr>
        <w:t>。</w:t>
      </w:r>
      <w:r>
        <w:rPr>
          <w:rFonts w:hint="eastAsia"/>
        </w:rPr>
        <w:t>做空美股的工具都是可以考虑的，</w:t>
      </w:r>
      <w:r w:rsidR="00C551C8">
        <w:rPr>
          <w:rFonts w:hint="eastAsia"/>
        </w:rPr>
        <w:t>喜欢左侧入场的可以考虑在市场预期不一致的时候做多</w:t>
      </w:r>
      <w:r w:rsidR="00C551C8">
        <w:rPr>
          <w:rFonts w:hint="eastAsia"/>
        </w:rPr>
        <w:t>VIX</w:t>
      </w:r>
      <w:r w:rsidR="00C551C8">
        <w:rPr>
          <w:rFonts w:hint="eastAsia"/>
        </w:rPr>
        <w:t>相关产品，喜欢右侧入场的不建议使用</w:t>
      </w:r>
      <w:r w:rsidR="00C551C8">
        <w:rPr>
          <w:rFonts w:hint="eastAsia"/>
        </w:rPr>
        <w:t>VIX</w:t>
      </w:r>
      <w:r w:rsidR="00C551C8">
        <w:rPr>
          <w:rFonts w:hint="eastAsia"/>
        </w:rPr>
        <w:t>（产品设计自身</w:t>
      </w:r>
      <w:r w:rsidR="00C551C8">
        <w:rPr>
          <w:rFonts w:hint="eastAsia"/>
        </w:rPr>
        <w:t>roll</w:t>
      </w:r>
      <w:r w:rsidR="00C551C8">
        <w:t xml:space="preserve"> </w:t>
      </w:r>
      <w:r w:rsidR="00C551C8">
        <w:rPr>
          <w:rFonts w:hint="eastAsia"/>
        </w:rPr>
        <w:t>over</w:t>
      </w:r>
      <w:r w:rsidR="00F95DE3">
        <w:rPr>
          <w:rFonts w:hint="eastAsia"/>
        </w:rPr>
        <w:t>和预期最终的统一化</w:t>
      </w:r>
      <w:r w:rsidR="00C551C8">
        <w:rPr>
          <w:rFonts w:hint="eastAsia"/>
        </w:rPr>
        <w:t>会让你亏出翔）</w:t>
      </w:r>
      <w:r w:rsidR="005C3E87">
        <w:rPr>
          <w:rFonts w:hint="eastAsia"/>
        </w:rPr>
        <w:t>直接做空指数期货是比较好的方式，比如卖空指数期货或者</w:t>
      </w:r>
      <w:r w:rsidR="004E134F">
        <w:rPr>
          <w:rFonts w:hint="eastAsia"/>
        </w:rPr>
        <w:t>买多看空期权</w:t>
      </w:r>
      <w:r w:rsidR="00654FFD">
        <w:rPr>
          <w:rFonts w:hint="eastAsia"/>
        </w:rPr>
        <w:t>或者一些多倍数的做空</w:t>
      </w:r>
      <w:r w:rsidR="00654FFD">
        <w:rPr>
          <w:rFonts w:hint="eastAsia"/>
        </w:rPr>
        <w:t>ETF</w:t>
      </w:r>
      <w:r w:rsidR="00654FFD">
        <w:rPr>
          <w:rFonts w:hint="eastAsia"/>
        </w:rPr>
        <w:t>也行</w:t>
      </w:r>
      <w:r w:rsidR="004E134F">
        <w:rPr>
          <w:rFonts w:hint="eastAsia"/>
        </w:rPr>
        <w:t>。</w:t>
      </w:r>
    </w:p>
    <w:p w14:paraId="5BBCBCAD" w14:textId="2F35C132" w:rsidR="00A52076" w:rsidRDefault="00A52076" w:rsidP="00892C03">
      <w:r>
        <w:rPr>
          <w:rFonts w:hint="eastAsia"/>
        </w:rPr>
        <w:t>目前的交易再次出现了持续亏损，主要原因还是我对这次通胀炒作的预期太低了，市场比我热情的多，目前看来市场认为通胀炒作才刚刚开始，</w:t>
      </w:r>
      <w:r w:rsidR="007C0660">
        <w:rPr>
          <w:rFonts w:hint="eastAsia"/>
        </w:rPr>
        <w:t>而</w:t>
      </w:r>
      <w:r>
        <w:rPr>
          <w:rFonts w:hint="eastAsia"/>
        </w:rPr>
        <w:t>我</w:t>
      </w:r>
      <w:r w:rsidR="00823815">
        <w:rPr>
          <w:rFonts w:hint="eastAsia"/>
        </w:rPr>
        <w:t>当时</w:t>
      </w:r>
      <w:r>
        <w:rPr>
          <w:rFonts w:hint="eastAsia"/>
        </w:rPr>
        <w:t>感觉他要开始结束了。</w:t>
      </w:r>
      <w:r w:rsidR="00C65790">
        <w:rPr>
          <w:rFonts w:hint="eastAsia"/>
        </w:rPr>
        <w:t>做空了一些列成交量缩小并且开始掉头的品种，最后统统止损出场。</w:t>
      </w:r>
      <w:r w:rsidR="00CB108E">
        <w:rPr>
          <w:rFonts w:hint="eastAsia"/>
        </w:rPr>
        <w:t>唉，</w:t>
      </w:r>
      <w:r w:rsidR="00E31C7E">
        <w:rPr>
          <w:rFonts w:hint="eastAsia"/>
        </w:rPr>
        <w:t>那就让子弹在飞一会儿</w:t>
      </w:r>
      <w:r w:rsidR="00D6510A">
        <w:rPr>
          <w:rFonts w:hint="eastAsia"/>
        </w:rPr>
        <w:t>吧</w:t>
      </w:r>
      <w:r w:rsidR="00B77757">
        <w:rPr>
          <w:rFonts w:hint="eastAsia"/>
        </w:rPr>
        <w:t>。</w:t>
      </w:r>
      <w:r w:rsidR="00401727">
        <w:rPr>
          <w:rFonts w:hint="eastAsia"/>
        </w:rPr>
        <w:t>从目前的盘面来看</w:t>
      </w:r>
      <w:r w:rsidR="00FD5C8A">
        <w:rPr>
          <w:rFonts w:hint="eastAsia"/>
        </w:rPr>
        <w:t>，处在这个位置的成交量已经明显萎缩，市场在怀疑中上行。</w:t>
      </w:r>
      <w:r w:rsidR="007752A0">
        <w:rPr>
          <w:rFonts w:hint="eastAsia"/>
        </w:rPr>
        <w:t>我们都知道成交量对于上涨行情是很重要的，</w:t>
      </w:r>
      <w:r w:rsidR="00C30038">
        <w:rPr>
          <w:rFonts w:hint="eastAsia"/>
        </w:rPr>
        <w:t>一般情况下放量上涨是行情持续下去的特点，同时平量下跌也是下跌的好兆头。</w:t>
      </w:r>
    </w:p>
    <w:p w14:paraId="491F8FA9" w14:textId="4D237A57" w:rsidR="009E76E8" w:rsidRDefault="00330699" w:rsidP="00330699">
      <w:pPr>
        <w:jc w:val="center"/>
      </w:pPr>
      <w:r w:rsidRPr="00330699">
        <w:rPr>
          <w:rFonts w:hint="eastAsia"/>
          <w:noProof/>
        </w:rPr>
        <w:drawing>
          <wp:inline distT="0" distB="0" distL="0" distR="0" wp14:anchorId="24E4161C" wp14:editId="779FEBBC">
            <wp:extent cx="5962650" cy="971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971550"/>
                    </a:xfrm>
                    <a:prstGeom prst="rect">
                      <a:avLst/>
                    </a:prstGeom>
                    <a:noFill/>
                    <a:ln>
                      <a:noFill/>
                    </a:ln>
                  </pic:spPr>
                </pic:pic>
              </a:graphicData>
            </a:graphic>
          </wp:inline>
        </w:drawing>
      </w:r>
    </w:p>
    <w:p w14:paraId="01884A0A" w14:textId="77777777" w:rsidR="009C7377" w:rsidRDefault="009C7377" w:rsidP="00892C03"/>
    <w:p w14:paraId="0A948D1B" w14:textId="33E8F6DD" w:rsidR="00FA7575" w:rsidRDefault="00FA7575" w:rsidP="007637BF"/>
    <w:p w14:paraId="7AFD7D8B" w14:textId="77777777" w:rsidR="00892C03" w:rsidRPr="00F30EF0" w:rsidRDefault="00892C03"/>
    <w:sectPr w:rsidR="00892C03" w:rsidRPr="00F30EF0" w:rsidSect="00760F0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E721E"/>
    <w:multiLevelType w:val="hybridMultilevel"/>
    <w:tmpl w:val="D1924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04E"/>
    <w:rsid w:val="000028DD"/>
    <w:rsid w:val="000048C5"/>
    <w:rsid w:val="00005534"/>
    <w:rsid w:val="00010DB1"/>
    <w:rsid w:val="0001108A"/>
    <w:rsid w:val="000170F5"/>
    <w:rsid w:val="00033EF6"/>
    <w:rsid w:val="00046C6A"/>
    <w:rsid w:val="00047154"/>
    <w:rsid w:val="000540BC"/>
    <w:rsid w:val="00056403"/>
    <w:rsid w:val="00056627"/>
    <w:rsid w:val="0007297D"/>
    <w:rsid w:val="00080A59"/>
    <w:rsid w:val="000943C8"/>
    <w:rsid w:val="00096095"/>
    <w:rsid w:val="000966E0"/>
    <w:rsid w:val="000A1B13"/>
    <w:rsid w:val="000A656C"/>
    <w:rsid w:val="000A65FD"/>
    <w:rsid w:val="000C7838"/>
    <w:rsid w:val="000D1388"/>
    <w:rsid w:val="000D18A7"/>
    <w:rsid w:val="000D4133"/>
    <w:rsid w:val="000E0A33"/>
    <w:rsid w:val="000E1FBF"/>
    <w:rsid w:val="000E497B"/>
    <w:rsid w:val="000E54EF"/>
    <w:rsid w:val="000E560A"/>
    <w:rsid w:val="000F0098"/>
    <w:rsid w:val="000F2113"/>
    <w:rsid w:val="000F491E"/>
    <w:rsid w:val="000F5684"/>
    <w:rsid w:val="00105C5F"/>
    <w:rsid w:val="00106CD5"/>
    <w:rsid w:val="0011179A"/>
    <w:rsid w:val="00117D22"/>
    <w:rsid w:val="001205C0"/>
    <w:rsid w:val="001232B1"/>
    <w:rsid w:val="00124E18"/>
    <w:rsid w:val="00125999"/>
    <w:rsid w:val="00130F2A"/>
    <w:rsid w:val="00133778"/>
    <w:rsid w:val="00137232"/>
    <w:rsid w:val="0014208C"/>
    <w:rsid w:val="001425E3"/>
    <w:rsid w:val="001502B3"/>
    <w:rsid w:val="0015291F"/>
    <w:rsid w:val="001561F7"/>
    <w:rsid w:val="00156668"/>
    <w:rsid w:val="00161722"/>
    <w:rsid w:val="0016563A"/>
    <w:rsid w:val="00184837"/>
    <w:rsid w:val="00185B65"/>
    <w:rsid w:val="00191964"/>
    <w:rsid w:val="00192840"/>
    <w:rsid w:val="00193E19"/>
    <w:rsid w:val="00195BE7"/>
    <w:rsid w:val="001A5F4A"/>
    <w:rsid w:val="001B1DB3"/>
    <w:rsid w:val="001B51F5"/>
    <w:rsid w:val="001B5377"/>
    <w:rsid w:val="001C0F27"/>
    <w:rsid w:val="001C1E7A"/>
    <w:rsid w:val="001C405D"/>
    <w:rsid w:val="001C4DB9"/>
    <w:rsid w:val="001D08A3"/>
    <w:rsid w:val="001D1039"/>
    <w:rsid w:val="001D682E"/>
    <w:rsid w:val="001D7B2D"/>
    <w:rsid w:val="001E0CC6"/>
    <w:rsid w:val="001E2E91"/>
    <w:rsid w:val="001E3211"/>
    <w:rsid w:val="001E3C4F"/>
    <w:rsid w:val="001E4DE5"/>
    <w:rsid w:val="001F10B6"/>
    <w:rsid w:val="001F52F4"/>
    <w:rsid w:val="001F6019"/>
    <w:rsid w:val="002020F3"/>
    <w:rsid w:val="00205E3E"/>
    <w:rsid w:val="00216F6F"/>
    <w:rsid w:val="00221373"/>
    <w:rsid w:val="0022356C"/>
    <w:rsid w:val="00224A91"/>
    <w:rsid w:val="00225F7F"/>
    <w:rsid w:val="00231D2F"/>
    <w:rsid w:val="00237AF8"/>
    <w:rsid w:val="00241E31"/>
    <w:rsid w:val="002566D3"/>
    <w:rsid w:val="00260238"/>
    <w:rsid w:val="002642C9"/>
    <w:rsid w:val="00264F59"/>
    <w:rsid w:val="0027146E"/>
    <w:rsid w:val="00272A64"/>
    <w:rsid w:val="002751E6"/>
    <w:rsid w:val="002766AC"/>
    <w:rsid w:val="00276EA2"/>
    <w:rsid w:val="00283936"/>
    <w:rsid w:val="00287D0B"/>
    <w:rsid w:val="00290B98"/>
    <w:rsid w:val="002A4D30"/>
    <w:rsid w:val="002A5546"/>
    <w:rsid w:val="002A64DA"/>
    <w:rsid w:val="002B130F"/>
    <w:rsid w:val="002B3760"/>
    <w:rsid w:val="002B5D4F"/>
    <w:rsid w:val="002C335B"/>
    <w:rsid w:val="002C4699"/>
    <w:rsid w:val="002C716D"/>
    <w:rsid w:val="002E356A"/>
    <w:rsid w:val="002F0309"/>
    <w:rsid w:val="002F41C0"/>
    <w:rsid w:val="00303BA7"/>
    <w:rsid w:val="00304815"/>
    <w:rsid w:val="0030510A"/>
    <w:rsid w:val="0030519A"/>
    <w:rsid w:val="00305980"/>
    <w:rsid w:val="003059A5"/>
    <w:rsid w:val="003119A3"/>
    <w:rsid w:val="00321980"/>
    <w:rsid w:val="00327F29"/>
    <w:rsid w:val="00330261"/>
    <w:rsid w:val="00330699"/>
    <w:rsid w:val="00337C59"/>
    <w:rsid w:val="003413B2"/>
    <w:rsid w:val="00341E8C"/>
    <w:rsid w:val="003433BC"/>
    <w:rsid w:val="0034391D"/>
    <w:rsid w:val="00343926"/>
    <w:rsid w:val="00344C9B"/>
    <w:rsid w:val="003474DD"/>
    <w:rsid w:val="0036404E"/>
    <w:rsid w:val="00367001"/>
    <w:rsid w:val="0036787A"/>
    <w:rsid w:val="00370965"/>
    <w:rsid w:val="003718C3"/>
    <w:rsid w:val="00374478"/>
    <w:rsid w:val="0038312F"/>
    <w:rsid w:val="00384891"/>
    <w:rsid w:val="00394ACE"/>
    <w:rsid w:val="003A3021"/>
    <w:rsid w:val="003B1F15"/>
    <w:rsid w:val="003B326E"/>
    <w:rsid w:val="003B48CA"/>
    <w:rsid w:val="003C093D"/>
    <w:rsid w:val="003C14D2"/>
    <w:rsid w:val="003C5976"/>
    <w:rsid w:val="003C78E5"/>
    <w:rsid w:val="003E1CFD"/>
    <w:rsid w:val="003E229B"/>
    <w:rsid w:val="003E5E00"/>
    <w:rsid w:val="003F0658"/>
    <w:rsid w:val="003F7662"/>
    <w:rsid w:val="00401727"/>
    <w:rsid w:val="00402909"/>
    <w:rsid w:val="00416003"/>
    <w:rsid w:val="004230DC"/>
    <w:rsid w:val="00423F5D"/>
    <w:rsid w:val="00431175"/>
    <w:rsid w:val="00433A46"/>
    <w:rsid w:val="00434457"/>
    <w:rsid w:val="00437321"/>
    <w:rsid w:val="00441AF6"/>
    <w:rsid w:val="004438AD"/>
    <w:rsid w:val="00444099"/>
    <w:rsid w:val="00450F99"/>
    <w:rsid w:val="00453BC8"/>
    <w:rsid w:val="00454CBC"/>
    <w:rsid w:val="004561FA"/>
    <w:rsid w:val="004616C9"/>
    <w:rsid w:val="00462D21"/>
    <w:rsid w:val="00472787"/>
    <w:rsid w:val="00476F4B"/>
    <w:rsid w:val="004775F2"/>
    <w:rsid w:val="00484CB4"/>
    <w:rsid w:val="00484FAF"/>
    <w:rsid w:val="004901B4"/>
    <w:rsid w:val="0049565B"/>
    <w:rsid w:val="004A52C9"/>
    <w:rsid w:val="004A6B3A"/>
    <w:rsid w:val="004B1069"/>
    <w:rsid w:val="004B1878"/>
    <w:rsid w:val="004B2087"/>
    <w:rsid w:val="004B5500"/>
    <w:rsid w:val="004B609E"/>
    <w:rsid w:val="004C2BB8"/>
    <w:rsid w:val="004C49AE"/>
    <w:rsid w:val="004D2F96"/>
    <w:rsid w:val="004D59F8"/>
    <w:rsid w:val="004E134F"/>
    <w:rsid w:val="004E4435"/>
    <w:rsid w:val="004F19B9"/>
    <w:rsid w:val="004F3B68"/>
    <w:rsid w:val="004F5D0D"/>
    <w:rsid w:val="004F7714"/>
    <w:rsid w:val="00500447"/>
    <w:rsid w:val="0051081A"/>
    <w:rsid w:val="00514115"/>
    <w:rsid w:val="005211F9"/>
    <w:rsid w:val="005240C8"/>
    <w:rsid w:val="00526EAC"/>
    <w:rsid w:val="0053068D"/>
    <w:rsid w:val="005335C6"/>
    <w:rsid w:val="00534D2F"/>
    <w:rsid w:val="00541E9B"/>
    <w:rsid w:val="00545C76"/>
    <w:rsid w:val="00547750"/>
    <w:rsid w:val="00556CDC"/>
    <w:rsid w:val="00561578"/>
    <w:rsid w:val="00565836"/>
    <w:rsid w:val="00581981"/>
    <w:rsid w:val="0058331D"/>
    <w:rsid w:val="00583D49"/>
    <w:rsid w:val="0058419A"/>
    <w:rsid w:val="00590CEA"/>
    <w:rsid w:val="0059509B"/>
    <w:rsid w:val="005979A7"/>
    <w:rsid w:val="005A2816"/>
    <w:rsid w:val="005A3BFF"/>
    <w:rsid w:val="005A7300"/>
    <w:rsid w:val="005C201B"/>
    <w:rsid w:val="005C369B"/>
    <w:rsid w:val="005C3E87"/>
    <w:rsid w:val="005C4567"/>
    <w:rsid w:val="005C53F6"/>
    <w:rsid w:val="005C663A"/>
    <w:rsid w:val="005D17A0"/>
    <w:rsid w:val="005D23DD"/>
    <w:rsid w:val="005D4C81"/>
    <w:rsid w:val="005D6EE5"/>
    <w:rsid w:val="005D763D"/>
    <w:rsid w:val="005E553E"/>
    <w:rsid w:val="006063A5"/>
    <w:rsid w:val="00607809"/>
    <w:rsid w:val="00612D51"/>
    <w:rsid w:val="00613DCC"/>
    <w:rsid w:val="006152FD"/>
    <w:rsid w:val="0061634D"/>
    <w:rsid w:val="006215D2"/>
    <w:rsid w:val="00623483"/>
    <w:rsid w:val="006338E5"/>
    <w:rsid w:val="006342EC"/>
    <w:rsid w:val="006346AC"/>
    <w:rsid w:val="00642854"/>
    <w:rsid w:val="006479A7"/>
    <w:rsid w:val="00651A66"/>
    <w:rsid w:val="0065425F"/>
    <w:rsid w:val="00654FFD"/>
    <w:rsid w:val="006560C1"/>
    <w:rsid w:val="0066073B"/>
    <w:rsid w:val="006609BE"/>
    <w:rsid w:val="00660CF8"/>
    <w:rsid w:val="0066119C"/>
    <w:rsid w:val="006674AD"/>
    <w:rsid w:val="00670C62"/>
    <w:rsid w:val="00671273"/>
    <w:rsid w:val="006717A2"/>
    <w:rsid w:val="0067186D"/>
    <w:rsid w:val="006718F0"/>
    <w:rsid w:val="0067342A"/>
    <w:rsid w:val="00673A2A"/>
    <w:rsid w:val="00675912"/>
    <w:rsid w:val="006907D4"/>
    <w:rsid w:val="00693951"/>
    <w:rsid w:val="006954C2"/>
    <w:rsid w:val="006A218B"/>
    <w:rsid w:val="006A5662"/>
    <w:rsid w:val="006B1C8D"/>
    <w:rsid w:val="006B4C27"/>
    <w:rsid w:val="006C0B71"/>
    <w:rsid w:val="006C5290"/>
    <w:rsid w:val="006C6B19"/>
    <w:rsid w:val="006C779E"/>
    <w:rsid w:val="006D0A19"/>
    <w:rsid w:val="006D4A00"/>
    <w:rsid w:val="006F2DF0"/>
    <w:rsid w:val="006F3D36"/>
    <w:rsid w:val="006F6F34"/>
    <w:rsid w:val="00700BA2"/>
    <w:rsid w:val="00701A11"/>
    <w:rsid w:val="00710DA8"/>
    <w:rsid w:val="00711DC5"/>
    <w:rsid w:val="0072350C"/>
    <w:rsid w:val="00725113"/>
    <w:rsid w:val="0073379E"/>
    <w:rsid w:val="0073640E"/>
    <w:rsid w:val="007375D0"/>
    <w:rsid w:val="00743606"/>
    <w:rsid w:val="007454E6"/>
    <w:rsid w:val="00746B1D"/>
    <w:rsid w:val="00747FC8"/>
    <w:rsid w:val="00750885"/>
    <w:rsid w:val="00752555"/>
    <w:rsid w:val="00752966"/>
    <w:rsid w:val="00756DE4"/>
    <w:rsid w:val="00760908"/>
    <w:rsid w:val="00760F0D"/>
    <w:rsid w:val="007619EB"/>
    <w:rsid w:val="007637BF"/>
    <w:rsid w:val="00764210"/>
    <w:rsid w:val="00765C05"/>
    <w:rsid w:val="00765D44"/>
    <w:rsid w:val="00767F0D"/>
    <w:rsid w:val="00773F93"/>
    <w:rsid w:val="00774547"/>
    <w:rsid w:val="007752A0"/>
    <w:rsid w:val="007809E2"/>
    <w:rsid w:val="00784F4F"/>
    <w:rsid w:val="00786864"/>
    <w:rsid w:val="007956E6"/>
    <w:rsid w:val="00797CF8"/>
    <w:rsid w:val="007A3188"/>
    <w:rsid w:val="007A53C1"/>
    <w:rsid w:val="007B03C9"/>
    <w:rsid w:val="007B3BC3"/>
    <w:rsid w:val="007B4457"/>
    <w:rsid w:val="007B63BF"/>
    <w:rsid w:val="007C0660"/>
    <w:rsid w:val="007C3695"/>
    <w:rsid w:val="007C5A7D"/>
    <w:rsid w:val="007C6B8C"/>
    <w:rsid w:val="007C75F8"/>
    <w:rsid w:val="007D4367"/>
    <w:rsid w:val="007D7A32"/>
    <w:rsid w:val="007E0E11"/>
    <w:rsid w:val="007E5911"/>
    <w:rsid w:val="007F2F6F"/>
    <w:rsid w:val="00800F5D"/>
    <w:rsid w:val="00811A34"/>
    <w:rsid w:val="0081203C"/>
    <w:rsid w:val="00814855"/>
    <w:rsid w:val="0082034A"/>
    <w:rsid w:val="008222F3"/>
    <w:rsid w:val="00823727"/>
    <w:rsid w:val="00823815"/>
    <w:rsid w:val="008246A8"/>
    <w:rsid w:val="00824A5F"/>
    <w:rsid w:val="0082657E"/>
    <w:rsid w:val="00831424"/>
    <w:rsid w:val="00840512"/>
    <w:rsid w:val="00840700"/>
    <w:rsid w:val="00850441"/>
    <w:rsid w:val="00850E29"/>
    <w:rsid w:val="00854AC9"/>
    <w:rsid w:val="008601B0"/>
    <w:rsid w:val="00863C13"/>
    <w:rsid w:val="00867F89"/>
    <w:rsid w:val="008762EA"/>
    <w:rsid w:val="0087741B"/>
    <w:rsid w:val="00883D68"/>
    <w:rsid w:val="008868CE"/>
    <w:rsid w:val="00892C03"/>
    <w:rsid w:val="008A074A"/>
    <w:rsid w:val="008A25AA"/>
    <w:rsid w:val="008A32CE"/>
    <w:rsid w:val="008B55AB"/>
    <w:rsid w:val="008B6FCF"/>
    <w:rsid w:val="008C310E"/>
    <w:rsid w:val="008C4C33"/>
    <w:rsid w:val="008C6E47"/>
    <w:rsid w:val="008C743B"/>
    <w:rsid w:val="008D224E"/>
    <w:rsid w:val="008D45CC"/>
    <w:rsid w:val="008D51C6"/>
    <w:rsid w:val="008E00E2"/>
    <w:rsid w:val="008F5BA8"/>
    <w:rsid w:val="008F61FB"/>
    <w:rsid w:val="008F6DF8"/>
    <w:rsid w:val="008F7B63"/>
    <w:rsid w:val="009058B4"/>
    <w:rsid w:val="00906ACB"/>
    <w:rsid w:val="0091125F"/>
    <w:rsid w:val="00914963"/>
    <w:rsid w:val="00916BFA"/>
    <w:rsid w:val="00916EFB"/>
    <w:rsid w:val="00916F14"/>
    <w:rsid w:val="00931783"/>
    <w:rsid w:val="00932FD5"/>
    <w:rsid w:val="00935448"/>
    <w:rsid w:val="009424FF"/>
    <w:rsid w:val="009433E2"/>
    <w:rsid w:val="00950800"/>
    <w:rsid w:val="009765EC"/>
    <w:rsid w:val="00977685"/>
    <w:rsid w:val="00981EE6"/>
    <w:rsid w:val="00993824"/>
    <w:rsid w:val="00993948"/>
    <w:rsid w:val="00994C8A"/>
    <w:rsid w:val="00997F22"/>
    <w:rsid w:val="009A4254"/>
    <w:rsid w:val="009A4EEB"/>
    <w:rsid w:val="009B2FCF"/>
    <w:rsid w:val="009B35D9"/>
    <w:rsid w:val="009B590C"/>
    <w:rsid w:val="009B79A6"/>
    <w:rsid w:val="009B79D5"/>
    <w:rsid w:val="009C499B"/>
    <w:rsid w:val="009C5D3D"/>
    <w:rsid w:val="009C7377"/>
    <w:rsid w:val="009C76B7"/>
    <w:rsid w:val="009D5004"/>
    <w:rsid w:val="009E010B"/>
    <w:rsid w:val="009E2D01"/>
    <w:rsid w:val="009E4481"/>
    <w:rsid w:val="009E76E8"/>
    <w:rsid w:val="009F095F"/>
    <w:rsid w:val="009F34BB"/>
    <w:rsid w:val="009F3C35"/>
    <w:rsid w:val="009F6C1B"/>
    <w:rsid w:val="009F73A7"/>
    <w:rsid w:val="009F79A9"/>
    <w:rsid w:val="00A05096"/>
    <w:rsid w:val="00A14499"/>
    <w:rsid w:val="00A274AA"/>
    <w:rsid w:val="00A2793B"/>
    <w:rsid w:val="00A35184"/>
    <w:rsid w:val="00A37C09"/>
    <w:rsid w:val="00A40AF5"/>
    <w:rsid w:val="00A42DF1"/>
    <w:rsid w:val="00A43031"/>
    <w:rsid w:val="00A4458B"/>
    <w:rsid w:val="00A462CB"/>
    <w:rsid w:val="00A47249"/>
    <w:rsid w:val="00A479DF"/>
    <w:rsid w:val="00A47B94"/>
    <w:rsid w:val="00A512BC"/>
    <w:rsid w:val="00A51AA1"/>
    <w:rsid w:val="00A52076"/>
    <w:rsid w:val="00A57A87"/>
    <w:rsid w:val="00A66044"/>
    <w:rsid w:val="00A70106"/>
    <w:rsid w:val="00A716F5"/>
    <w:rsid w:val="00A73B72"/>
    <w:rsid w:val="00A7718B"/>
    <w:rsid w:val="00A83B7D"/>
    <w:rsid w:val="00A86754"/>
    <w:rsid w:val="00A92AD4"/>
    <w:rsid w:val="00AA22C1"/>
    <w:rsid w:val="00AA2605"/>
    <w:rsid w:val="00AA7EB3"/>
    <w:rsid w:val="00AC2CBA"/>
    <w:rsid w:val="00AC2E87"/>
    <w:rsid w:val="00AC6E7F"/>
    <w:rsid w:val="00AD54AA"/>
    <w:rsid w:val="00AE6197"/>
    <w:rsid w:val="00AF5D98"/>
    <w:rsid w:val="00AF69A6"/>
    <w:rsid w:val="00B0001B"/>
    <w:rsid w:val="00B06538"/>
    <w:rsid w:val="00B10957"/>
    <w:rsid w:val="00B12336"/>
    <w:rsid w:val="00B128EA"/>
    <w:rsid w:val="00B15F22"/>
    <w:rsid w:val="00B17E69"/>
    <w:rsid w:val="00B23CAF"/>
    <w:rsid w:val="00B27C1B"/>
    <w:rsid w:val="00B34336"/>
    <w:rsid w:val="00B401C1"/>
    <w:rsid w:val="00B42725"/>
    <w:rsid w:val="00B42A6C"/>
    <w:rsid w:val="00B43E81"/>
    <w:rsid w:val="00B51D26"/>
    <w:rsid w:val="00B5221D"/>
    <w:rsid w:val="00B57DC0"/>
    <w:rsid w:val="00B61836"/>
    <w:rsid w:val="00B63114"/>
    <w:rsid w:val="00B63A1D"/>
    <w:rsid w:val="00B64058"/>
    <w:rsid w:val="00B74CB5"/>
    <w:rsid w:val="00B74CEE"/>
    <w:rsid w:val="00B7723A"/>
    <w:rsid w:val="00B77757"/>
    <w:rsid w:val="00B777DF"/>
    <w:rsid w:val="00B82280"/>
    <w:rsid w:val="00B83006"/>
    <w:rsid w:val="00B84384"/>
    <w:rsid w:val="00B91FF6"/>
    <w:rsid w:val="00BA0E36"/>
    <w:rsid w:val="00BA2D38"/>
    <w:rsid w:val="00BB3A6B"/>
    <w:rsid w:val="00BB7E6A"/>
    <w:rsid w:val="00BC0658"/>
    <w:rsid w:val="00BC51AC"/>
    <w:rsid w:val="00BD145C"/>
    <w:rsid w:val="00BD1E40"/>
    <w:rsid w:val="00BD4B86"/>
    <w:rsid w:val="00BD4F01"/>
    <w:rsid w:val="00BD7DC6"/>
    <w:rsid w:val="00BE24B9"/>
    <w:rsid w:val="00BE5ED8"/>
    <w:rsid w:val="00C03691"/>
    <w:rsid w:val="00C07367"/>
    <w:rsid w:val="00C107AE"/>
    <w:rsid w:val="00C12057"/>
    <w:rsid w:val="00C17CF8"/>
    <w:rsid w:val="00C2039C"/>
    <w:rsid w:val="00C30038"/>
    <w:rsid w:val="00C31C91"/>
    <w:rsid w:val="00C33813"/>
    <w:rsid w:val="00C370BC"/>
    <w:rsid w:val="00C41F5E"/>
    <w:rsid w:val="00C4306A"/>
    <w:rsid w:val="00C439D2"/>
    <w:rsid w:val="00C47728"/>
    <w:rsid w:val="00C514C4"/>
    <w:rsid w:val="00C53C5E"/>
    <w:rsid w:val="00C54D6B"/>
    <w:rsid w:val="00C551C8"/>
    <w:rsid w:val="00C559F7"/>
    <w:rsid w:val="00C565E7"/>
    <w:rsid w:val="00C56CA8"/>
    <w:rsid w:val="00C65790"/>
    <w:rsid w:val="00C67A5F"/>
    <w:rsid w:val="00C72986"/>
    <w:rsid w:val="00C80D08"/>
    <w:rsid w:val="00C83431"/>
    <w:rsid w:val="00C91B70"/>
    <w:rsid w:val="00C91EE6"/>
    <w:rsid w:val="00C93BA1"/>
    <w:rsid w:val="00C975B9"/>
    <w:rsid w:val="00CA463E"/>
    <w:rsid w:val="00CA6D70"/>
    <w:rsid w:val="00CB108E"/>
    <w:rsid w:val="00CB28E9"/>
    <w:rsid w:val="00CB6115"/>
    <w:rsid w:val="00CC37EA"/>
    <w:rsid w:val="00CC3BF7"/>
    <w:rsid w:val="00CD2AE3"/>
    <w:rsid w:val="00CE5A27"/>
    <w:rsid w:val="00CF0031"/>
    <w:rsid w:val="00CF750E"/>
    <w:rsid w:val="00D025CC"/>
    <w:rsid w:val="00D1100E"/>
    <w:rsid w:val="00D147F4"/>
    <w:rsid w:val="00D1611C"/>
    <w:rsid w:val="00D23E8A"/>
    <w:rsid w:val="00D33053"/>
    <w:rsid w:val="00D4700E"/>
    <w:rsid w:val="00D55FAB"/>
    <w:rsid w:val="00D63787"/>
    <w:rsid w:val="00D6510A"/>
    <w:rsid w:val="00D7361C"/>
    <w:rsid w:val="00D74056"/>
    <w:rsid w:val="00D8239D"/>
    <w:rsid w:val="00D823CC"/>
    <w:rsid w:val="00D869A9"/>
    <w:rsid w:val="00D91BF3"/>
    <w:rsid w:val="00D954DF"/>
    <w:rsid w:val="00D9555F"/>
    <w:rsid w:val="00D9577B"/>
    <w:rsid w:val="00D96E4A"/>
    <w:rsid w:val="00DA0C2A"/>
    <w:rsid w:val="00DA5CA3"/>
    <w:rsid w:val="00DA7F62"/>
    <w:rsid w:val="00DB001C"/>
    <w:rsid w:val="00DB1D7A"/>
    <w:rsid w:val="00DB4CA9"/>
    <w:rsid w:val="00DB7910"/>
    <w:rsid w:val="00DC3167"/>
    <w:rsid w:val="00DC4376"/>
    <w:rsid w:val="00DD0FA8"/>
    <w:rsid w:val="00DD3F51"/>
    <w:rsid w:val="00DD51D1"/>
    <w:rsid w:val="00DD72CE"/>
    <w:rsid w:val="00DD7A4F"/>
    <w:rsid w:val="00DE07A0"/>
    <w:rsid w:val="00DE2E88"/>
    <w:rsid w:val="00DE300D"/>
    <w:rsid w:val="00DE67EE"/>
    <w:rsid w:val="00DF00F0"/>
    <w:rsid w:val="00DF15B3"/>
    <w:rsid w:val="00DF44E9"/>
    <w:rsid w:val="00DF665D"/>
    <w:rsid w:val="00E00C9C"/>
    <w:rsid w:val="00E01CC1"/>
    <w:rsid w:val="00E0251E"/>
    <w:rsid w:val="00E0525D"/>
    <w:rsid w:val="00E15C08"/>
    <w:rsid w:val="00E21472"/>
    <w:rsid w:val="00E25D44"/>
    <w:rsid w:val="00E31C7E"/>
    <w:rsid w:val="00E32B42"/>
    <w:rsid w:val="00E35B57"/>
    <w:rsid w:val="00E37E1A"/>
    <w:rsid w:val="00E50B2B"/>
    <w:rsid w:val="00E55227"/>
    <w:rsid w:val="00E5584D"/>
    <w:rsid w:val="00E56949"/>
    <w:rsid w:val="00E57D07"/>
    <w:rsid w:val="00E57DB0"/>
    <w:rsid w:val="00E71C99"/>
    <w:rsid w:val="00E729AD"/>
    <w:rsid w:val="00E72F6A"/>
    <w:rsid w:val="00E77837"/>
    <w:rsid w:val="00E80719"/>
    <w:rsid w:val="00E947C1"/>
    <w:rsid w:val="00EA1CFF"/>
    <w:rsid w:val="00EA7B51"/>
    <w:rsid w:val="00EB1368"/>
    <w:rsid w:val="00EB196F"/>
    <w:rsid w:val="00EB3A4C"/>
    <w:rsid w:val="00EC0752"/>
    <w:rsid w:val="00ED32FD"/>
    <w:rsid w:val="00ED3808"/>
    <w:rsid w:val="00EE19F8"/>
    <w:rsid w:val="00EE2050"/>
    <w:rsid w:val="00EE3212"/>
    <w:rsid w:val="00EE394B"/>
    <w:rsid w:val="00EE78D3"/>
    <w:rsid w:val="00EF2048"/>
    <w:rsid w:val="00EF349B"/>
    <w:rsid w:val="00EF36D7"/>
    <w:rsid w:val="00EF5659"/>
    <w:rsid w:val="00F003DD"/>
    <w:rsid w:val="00F06616"/>
    <w:rsid w:val="00F15E01"/>
    <w:rsid w:val="00F161B3"/>
    <w:rsid w:val="00F16F82"/>
    <w:rsid w:val="00F2179B"/>
    <w:rsid w:val="00F21CFE"/>
    <w:rsid w:val="00F23B03"/>
    <w:rsid w:val="00F2698F"/>
    <w:rsid w:val="00F26E50"/>
    <w:rsid w:val="00F2731D"/>
    <w:rsid w:val="00F30EF0"/>
    <w:rsid w:val="00F3244E"/>
    <w:rsid w:val="00F325F6"/>
    <w:rsid w:val="00F4403E"/>
    <w:rsid w:val="00F44235"/>
    <w:rsid w:val="00F45617"/>
    <w:rsid w:val="00F525C6"/>
    <w:rsid w:val="00F5277E"/>
    <w:rsid w:val="00F52C70"/>
    <w:rsid w:val="00F600A0"/>
    <w:rsid w:val="00F63989"/>
    <w:rsid w:val="00F654E2"/>
    <w:rsid w:val="00F82AC9"/>
    <w:rsid w:val="00F905D7"/>
    <w:rsid w:val="00F914FE"/>
    <w:rsid w:val="00F9177F"/>
    <w:rsid w:val="00F94FA1"/>
    <w:rsid w:val="00F95427"/>
    <w:rsid w:val="00F95DE3"/>
    <w:rsid w:val="00F96ACB"/>
    <w:rsid w:val="00F97C32"/>
    <w:rsid w:val="00FA47E5"/>
    <w:rsid w:val="00FA6F61"/>
    <w:rsid w:val="00FA7575"/>
    <w:rsid w:val="00FD480A"/>
    <w:rsid w:val="00FD5C8A"/>
    <w:rsid w:val="00FD7248"/>
    <w:rsid w:val="00FE069C"/>
    <w:rsid w:val="00FE3628"/>
    <w:rsid w:val="00FE63FE"/>
    <w:rsid w:val="00FF5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03CB"/>
  <w15:chartTrackingRefBased/>
  <w15:docId w15:val="{431A0417-BB32-443B-8C7C-8119B481B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138091">
      <w:bodyDiv w:val="1"/>
      <w:marLeft w:val="0"/>
      <w:marRight w:val="0"/>
      <w:marTop w:val="0"/>
      <w:marBottom w:val="0"/>
      <w:divBdr>
        <w:top w:val="none" w:sz="0" w:space="0" w:color="auto"/>
        <w:left w:val="none" w:sz="0" w:space="0" w:color="auto"/>
        <w:bottom w:val="none" w:sz="0" w:space="0" w:color="auto"/>
        <w:right w:val="none" w:sz="0" w:space="0" w:color="auto"/>
      </w:divBdr>
    </w:div>
    <w:div w:id="211038522">
      <w:bodyDiv w:val="1"/>
      <w:marLeft w:val="0"/>
      <w:marRight w:val="0"/>
      <w:marTop w:val="0"/>
      <w:marBottom w:val="0"/>
      <w:divBdr>
        <w:top w:val="none" w:sz="0" w:space="0" w:color="auto"/>
        <w:left w:val="none" w:sz="0" w:space="0" w:color="auto"/>
        <w:bottom w:val="none" w:sz="0" w:space="0" w:color="auto"/>
        <w:right w:val="none" w:sz="0" w:space="0" w:color="auto"/>
      </w:divBdr>
    </w:div>
    <w:div w:id="183279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4</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shaolun du</dc:creator>
  <cp:keywords/>
  <dc:description/>
  <cp:lastModifiedBy>shaolun du</cp:lastModifiedBy>
  <cp:revision>1038</cp:revision>
  <cp:lastPrinted>2021-01-31T02:35:00Z</cp:lastPrinted>
  <dcterms:created xsi:type="dcterms:W3CDTF">2021-01-23T23:31:00Z</dcterms:created>
  <dcterms:modified xsi:type="dcterms:W3CDTF">2021-02-20T17:45:00Z</dcterms:modified>
</cp:coreProperties>
</file>