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InmobiliariaVR</w:t>
      </w:r>
    </w:p>
    <w:p>
      <w:pPr>
        <w:spacing w:before="200"/>
        <w:jc w:val="center"/>
      </w:pPr>
      <w:r>
        <w:rPr>
          <w:color w:val="595959"/>
          <w:sz w:val="28"/>
          <w:szCs w:val="28"/>
        </w:rPr>
        <w:t xml:space="preserve">Marketplace Inmobiliario con Realidad Virtual, IA Local y Fabricación Digital</w:t>
      </w:r>
    </w:p>
    <w:p>
      <w:pPr>
        <w:spacing w:before="800"/>
        <w:jc w:val="center"/>
      </w:pPr>
      <w:r>
        <w:rPr>
          <w:b/>
          <w:bCs/>
          <w:sz w:val="32"/>
          <w:szCs w:val="32"/>
        </w:rPr>
        <w:t xml:space="preserve">Fundamentación Teórica y Análisis de Aplicaciones Reales</w:t>
      </w:r>
    </w:p>
    <w:p>
      <w:pPr>
        <w:spacing w:before="200"/>
        <w:jc w:val="center"/>
      </w:pPr>
      <w:r>
        <w:rPr>
          <w:color w:val="595959"/>
          <w:sz w:val="24"/>
          <w:szCs w:val="24"/>
        </w:rPr>
        <w:t xml:space="preserve">Puntos 1 y 2 del Primer Parcial — Ingeniería de Software II</w:t>
      </w:r>
    </w:p>
    <w:p>
      <w:pPr>
        <w:spacing w:before="1600"/>
        <w:jc w:val="center"/>
      </w:pPr>
      <w:r>
        <w:rPr>
          <w:sz w:val="24"/>
          <w:szCs w:val="24"/>
        </w:rPr>
        <w:t xml:space="preserve">Grupo 1</w:t>
      </w:r>
    </w:p>
    <w:p>
      <w:pPr>
        <w:spacing w:before="100"/>
        <w:jc w:val="center"/>
      </w:pPr>
      <w:r>
        <w:rPr>
          <w:color w:val="595959"/>
          <w:sz w:val="20"/>
          <w:szCs w:val="20"/>
        </w:rPr>
        <w:t xml:space="preserve">Angulo Heredia, Luis Fernando  ·  Melgar Alvis, Alan Fabián  ·  Torrez Barrón, Jazmín Mónica  ·  Torrez Vega, Santiago  ·  Villegas Acuña, Jhosceline</w:t>
      </w:r>
    </w:p>
    <w:p>
      <w:pPr>
        <w:spacing w:before="400"/>
        <w:jc w:val="center"/>
      </w:pPr>
      <w:r>
        <w:rPr>
          <w:color w:val="595959"/>
          <w:sz w:val="20"/>
          <w:szCs w:val="20"/>
        </w:rPr>
        <w:t xml:space="preserve">Docente: Martínez Canedo, Ronald Antonio</w:t>
      </w:r>
    </w:p>
    <w:p>
      <w:pPr>
        <w:spacing w:before="100"/>
        <w:jc w:val="center"/>
      </w:pPr>
      <w:r>
        <w:rPr>
          <w:color w:val="595959"/>
          <w:sz w:val="20"/>
          <w:szCs w:val="20"/>
        </w:rPr>
        <w:t xml:space="preserve">Gestión 2026</w:t>
      </w:r>
    </w:p>
    <w:p>
      <w:pPr>
        <w:pageBreakBefore/>
      </w:pPr>
    </w:p>
    <w:p>
      <w:pPr>
        <w:pStyle w:val="Heading1"/>
        <w:spacing w:after="200" w:before="400"/>
      </w:pPr>
      <w:r>
        <w:rPr>
          <w:color w:val="1F3864"/>
        </w:rPr>
        <w:t xml:space="preserve">1. Fundamentación Teórica y Estado del Arte</w:t>
      </w:r>
    </w:p>
    <w:p>
      <w:pPr>
        <w:spacing w:after="200" w:line="300"/>
        <w:jc w:val="both"/>
      </w:pPr>
      <w:r>
        <w:t xml:space="preserve">El proyecto InmobiliariaVR propone un sistema de preventa inmobiliaria que combina un recorrido inmersivo en Realidad Virtual (VR), un módulo de personalización de interiores asistido por un modelo de inteligencia artificial ejecutado íntegramente en local (sin conexión a servidores externos) y una salida opcional hacia la impresión 3D de una maqueta física del diseño final. Esta sección presenta el marco teórico que sustenta cada uno de esos cuatro pilares, apoyado en cinco fuentes académicas publicadas entre 2023 y 2025 en revistas indexadas (IEEE Xplore, Frontiers, ScienceDirect/Elsevier y MDPI), verificadas de forma directa en el sitio oficial de cada editorial.</w:t>
      </w:r>
    </w:p>
    <w:p>
      <w:pPr>
        <w:pStyle w:val="Heading2"/>
        <w:spacing w:after="150" w:before="300"/>
      </w:pPr>
      <w:r>
        <w:rPr>
          <w:color w:val="1F3864"/>
        </w:rPr>
        <w:t xml:space="preserve">1.1 Realidad Virtual aplicada al sector inmobiliario</w:t>
      </w:r>
    </w:p>
    <w:p>
      <w:pPr>
        <w:spacing w:after="200" w:line="300"/>
        <w:jc w:val="both"/>
      </w:pPr>
      <w:r>
        <w:t xml:space="preserve">El uso de la Realidad Virtual como herramienta de visualización de propiedades no es una idea nueva, pero su relevancia como estrategia comercial de preventa —vender una unidad antes de que exista físicamente— ha cobrado fuerza reciente en la literatura. Prema et al. (2024) analizan de forma directa este caso de uso: cómo la VR permite a un cliente recorrer e inspeccionar una propiedad que todavía no ha sido construida, mejorando significativamente su nivel de compromiso (engagement) y su confianza en la decisión de compra frente a los métodos tradicionales de venta basados en planos 2D y renders estáticos. Esta evidencia respalda directamente el flujo central de InmobiliariaVR: un cliente que ingresa al marketplace, elige una unidad en preventa y la recorre en VR antes de reservarla.</w:t>
      </w:r>
    </w:p>
    <w:p>
      <w:pPr>
        <w:spacing w:after="200" w:line="300"/>
        <w:jc w:val="both"/>
      </w:pPr>
      <w:r>
        <w:t xml:space="preserve">Sin embargo, la adopción de estas tecnologías en la industria no ha sido uniforme ni tan acelerada como se proyectaba a fines de la década pasada. Fathi et al. (2025) realizan un estudio de métodos mixtos —encuestas a más de 200 profesionales del sector de arquitectura, ingeniería, construcción y gestión de instalaciones (AEC-FM) en los años 2018, 2020 y 2023, complementadas con entrevistas cualitativas— y encuentran que, si bien el entusiasmo inicial por la VR/AR en el sector fue alto, la adopción real en flujos de trabajo productivos sigue estando por debajo de las expectativas, con brechas concretas en capacitación del personal, costo de las herramientas y falta de integración con los procesos BIM existentes. Este hallazgo es relevante para InmobiliariaVR en dos sentidos: primero, confirma que persiste un espacio de oportunidad real para herramientas VR bien integradas al flujo de negocio inmobiliario (no es un mercado saturado); segundo, justifica por qué el proyecto prioriza una arquitectura simple y liviana —Unity con XR Interaction Toolkit sobre OpenXR— en lugar de depender de suites BIM pesadas, precisamente para reducir una de las barreras de adopción identificadas en el estudio.</w:t>
      </w:r>
    </w:p>
    <w:p>
      <w:pPr>
        <w:pStyle w:val="Heading2"/>
        <w:spacing w:after="150" w:before="300"/>
      </w:pPr>
      <w:r>
        <w:rPr>
          <w:color w:val="1F3864"/>
        </w:rPr>
        <w:t xml:space="preserve">1.2 Inteligencia Artificial y Realidad Virtual para la personalización de interiores</w:t>
      </w:r>
    </w:p>
    <w:p>
      <w:pPr>
        <w:spacing w:after="200" w:line="300"/>
        <w:jc w:val="both"/>
      </w:pPr>
      <w:r>
        <w:t xml:space="preserve">El segundo pilar del proyecto es la personalización de acabados y mobiliario dentro del recorrido VR, asistida por un modelo de lenguaje que interpreta pedidos en lenguaje natural (por ejemplo, "cambiá la pared a gris" o "quiero el sofá azul") y los traduce en acciones sobre la escena. Wu y Han (2023) evalúan sistemáticamente el cruce exacto entre estas dos tecnologías: el uso combinado de IA y VR en el diseño interactivo de decoración de interiores, con el objetivo explícito de acortar el ciclo de comunicación entre el diseñador y el cliente final. Los autores muestran que permitir al usuario final manipular y personalizar el espacio en tiempo real —en lugar de depender exclusivamente de un diseñador humano intermediario— mejora tanto la satisfacción percibida como la velocidad de convergencia hacia un diseño final aceptado. Esta es la fuente más directamente comparable al módulo `MaterialChangerVR`/`OllamaAIController` implementado en el proyecto, donde el usuario cicla materiales tocando objetos en VR o los solicita en lenguaje natural, sin intervención de un diseñador humano en el ciclo.</w:t>
      </w:r>
    </w:p>
    <w:p>
      <w:pPr>
        <w:pStyle w:val="Heading2"/>
        <w:spacing w:after="150" w:before="300"/>
      </w:pPr>
      <w:r>
        <w:rPr>
          <w:color w:val="1F3864"/>
        </w:rPr>
        <w:t xml:space="preserve">1.3 Modelos de lenguaje ejecutados localmente, sin conexión a internet</w:t>
      </w:r>
    </w:p>
    <w:p>
      <w:pPr>
        <w:spacing w:after="200" w:line="300"/>
        <w:jc w:val="both"/>
      </w:pPr>
      <w:r>
        <w:t xml:space="preserve">Un requisito no negociable del proyecto es que el asistente de IA funcione enteramente en local (`localhost:11434`, mediante Ollama y el modelo `gemma2:2b`), sin depender de un servidor externo ni de conexión a internet durante su operación. Esta decisión de arquitectura no es solo una restricción del examen: tiene respaldo técnico independiente. Tyndall et al. (2025) evalúan la viabilidad real de ejecutar modelos de lenguaje grandes (LLM) de forma segura y completamente offline, con generación aumentada por recuperación (RAG), en hardware de consumo que no dispone de GPU dedicada —es decir, únicamente con inferencia por CPU—. Sus resultados confirman que modelos livianos pueden ofrecer tiempos de respuesta aceptables para tareas interactivas en estas condiciones, siempre que se seleccione un modelo de tamaño adecuado al hardware disponible. Esta fuente es la que mejor sustenta, desde la literatura, que el enfoque de IA local del proyecto es una decisión de arquitectura viable y no una simplificación forzada por falta de tiempo: durante el desarrollo, esta misma limitación se confirmó empíricamente al comparar un modelo de visión-lenguaje pesado (que tardó más de tres minutos en procesar una sola imagen en la máquina de desarrollo, sin GPU dedicada) contra el modelo de texto liviano actualmente en uso, que responde en el orden de segundos — un hallazgo que reproduce en la práctica exactamente la relación entre tamaño de modelo y viabilidad de inferencia por CPU que describen Tyndall et al.</w:t>
      </w:r>
    </w:p>
    <w:p>
      <w:pPr>
        <w:pStyle w:val="Heading2"/>
        <w:spacing w:after="150" w:before="300"/>
      </w:pPr>
      <w:r>
        <w:rPr>
          <w:color w:val="1F3864"/>
        </w:rPr>
        <w:t xml:space="preserve">1.4 Del modelo digital a la fabricación aditiva (impresión 3D)</w:t>
      </w:r>
    </w:p>
    <w:p>
      <w:pPr>
        <w:spacing w:after="200" w:line="300"/>
        <w:jc w:val="both"/>
      </w:pPr>
      <w:r>
        <w:t xml:space="preserve">El cuarto pilar es la exportación del diseño final —una vez personalizado por el cliente en VR— hacia un archivo STL apto para impresión 3D, permitiendo obtener una maqueta física a escala del diseño elegido. García-Alvarado et al. (2024) proponen un marco de trabajo formal para llevar un modelo BIM (Building Information Modeling) hasta la impresión 3D de construcción, documentando las etapas necesarias de preparación geométrica (garantizar que la malla sea watertight/manifold), conversión de formato y ajuste de escala. Si bien los autores trabajan a la escala de impresión de construcción y el proyecto InmobiliariaVR opera a escala de maqueta de escritorio (proporción 1:50), el problema de fondo —convertir un modelo digital paramétrico en una salida imprimible— es formalmente el mismo, y el marco propuesto por los autores respalda académicamente las decisiones tomadas en la implementación de `StlExporter.cs`: exportación en formato STL binario, remapeo de ejes (de la convención de Unity, con eje Y vertical, a la convención estándar de impresión 3D, con eje Z vertical) e inversión del orden de vértices para preservar la orientación correcta de las normales de cada triángulo.</w:t>
      </w:r>
    </w:p>
    <w:p>
      <w:pPr>
        <w:pStyle w:val="Heading2"/>
        <w:spacing w:after="150" w:before="300"/>
      </w:pPr>
      <w:r>
        <w:rPr>
          <w:color w:val="1F3864"/>
        </w:rPr>
        <w:t xml:space="preserve">1.5 Síntesis</w:t>
      </w:r>
    </w:p>
    <w:p>
      <w:pPr>
        <w:spacing w:after="200" w:line="300"/>
        <w:jc w:val="both"/>
      </w:pPr>
      <w:r>
        <w:t xml:space="preserve">Las cuatro fuentes revisadas, sumadas al estudio de adopción sectorial de Fathi et al. (2025), configuran un marco teórico coherente para InmobiliariaVR: existe evidencia de que la VR mejora la decisión de compra en preventa inmobiliaria (Prema et al., 2024) dentro de un mercado donde la adopción real todavía tiene margen de crecimiento (Fathi et al., 2025); existe evidencia de que combinar IA con VR para personalización de interiores mejora la experiencia del usuario final (Wu &amp; Han, 2023); existe evidencia de que ejecutar esa IA de forma local y sin conexión a internet es técnicamente viable en hardware de consumo (Tyndall et al., 2025); y existe un marco formal ya publicado para llevar ese diseño personalizado hasta una salida física impresa en 3D (García-Alvarado et al., 2024). El proyecto no propone, por lo tanto, una combinación arbitraria de tecnologías, sino la integración de cuatro líneas de investigación independientes que convergen naturalmente en el flujo de preventa inmobiliaria que el sistema implementa.</w:t>
      </w:r>
    </w:p>
    <w:p>
      <w:pPr>
        <w:pStyle w:val="Heading1"/>
        <w:spacing w:after="200" w:before="400"/>
      </w:pPr>
      <w:r>
        <w:rPr>
          <w:color w:val="1F3864"/>
        </w:rPr>
        <w:t xml:space="preserve">Referencias</w:t>
      </w:r>
    </w:p>
    <w:p>
      <w:pPr>
        <w:spacing w:after="200" w:line="276"/>
        <w:ind w:left="720" w:hanging="720"/>
      </w:pPr>
      <w:r>
        <w:rPr>
          <w:i w:val="false"/>
          <w:iCs w:val="false"/>
        </w:rPr>
        <w:t xml:space="preserve">Fathi, S., Sabeti, S., Shoghli, O., Heydarian, A., &amp; Balali, V. (2025). Adoption of virtual and augmented reality in the architecture, engineering, construction, and facilities management (AEC-FM): mixed method analysis of trends, gaps, and solutions. Frontiers in Built Environment, 11. https://doi.org/10.3389/fbuil.2025.1580639</w:t>
      </w:r>
    </w:p>
    <w:p>
      <w:pPr>
        <w:spacing w:after="200" w:line="276"/>
        <w:ind w:left="720" w:hanging="720"/>
      </w:pPr>
      <w:r>
        <w:rPr>
          <w:i w:val="false"/>
          <w:iCs w:val="false"/>
        </w:rPr>
        <w:t xml:space="preserve">García-Alvarado, R., Soza, P., Moroni, G., Pedreros, F., Avendaño, M., Banda, P., &amp; Berríos, C. (2024). From BIM model to 3D construction printing: A framework proposal. Frontiers of Architectural Research, 13(4), 912–927. https://doi.org/10.1016/j.foar.2024.03.002</w:t>
      </w:r>
    </w:p>
    <w:p>
      <w:pPr>
        <w:spacing w:after="200" w:line="276"/>
        <w:ind w:left="720" w:hanging="720"/>
      </w:pPr>
      <w:r>
        <w:rPr>
          <w:i w:val="false"/>
          <w:iCs w:val="false"/>
        </w:rPr>
        <w:t xml:space="preserve">Prema, K., Chhetri, A., Singh, S. P., &amp; Rao, D. Y. (2024). Virtual Reality for Real Estate: Revolutionizing Property Visualization and Enhancing Client Engagement. En 2024 IEEE 4th International Conference on ICT in Business Industry &amp; Government (ICTBIG). IEEE. https://ieeexplore.ieee.org/document/10911827</w:t>
      </w:r>
    </w:p>
    <w:p>
      <w:pPr>
        <w:spacing w:after="200" w:line="276"/>
        <w:ind w:left="720" w:hanging="720"/>
      </w:pPr>
      <w:r>
        <w:rPr>
          <w:i w:val="false"/>
          <w:iCs w:val="false"/>
        </w:rPr>
        <w:t xml:space="preserve">Tyndall, E., Wagner, T., Gayheart, C., Some, A., et al. (2025). Feasibility Evaluation of Secure Offline Large Language Models with Retrieval-Augmented Generation for CPU-Only Inference. Information, 16(9), 744. https://doi.org/10.3390/info16090744</w:t>
      </w:r>
    </w:p>
    <w:p>
      <w:pPr>
        <w:spacing w:after="200" w:line="276"/>
        <w:ind w:left="720" w:hanging="720"/>
      </w:pPr>
      <w:r>
        <w:rPr>
          <w:i w:val="false"/>
          <w:iCs w:val="false"/>
        </w:rPr>
        <w:t xml:space="preserve">Wu, S., &amp; Han, S. (2023). System Evaluation of Artificial Intelligence and Virtual Reality Technology in the Interactive Design of Interior Decoration. Applied Sciences, 13(10), 6272. https://doi.org/10.3390/app13106272</w:t>
      </w:r>
    </w:p>
    <w:p>
      <w:pPr>
        <w:pageBreakBefore/>
      </w:pPr>
    </w:p>
    <w:p>
      <w:pPr>
        <w:pStyle w:val="Heading1"/>
        <w:spacing w:after="200" w:before="400"/>
      </w:pPr>
      <w:r>
        <w:rPr>
          <w:color w:val="1F3864"/>
        </w:rPr>
        <w:t xml:space="preserve">2. Tres Aplicaciones Reales en el Mundo</w:t>
      </w:r>
    </w:p>
    <w:p>
      <w:pPr>
        <w:spacing w:after="200" w:line="300"/>
        <w:jc w:val="both"/>
      </w:pPr>
      <w:r>
        <w:t xml:space="preserve">A continuación se presentan tres aplicaciones comerciales ya en producción, de gran envergadura, que abordan el mismo dominio del proyecto (visualización y personalización inmobiliaria en 3D/VR/AR) desde enfoques distintos entre sí: una orientada a recorridos web multiplataforma, una orientada a flujos de trabajo BIM colaborativos para el sector AEC, y una orientada a configuración modular de producto con salida a e-commerce.</w:t>
      </w:r>
    </w:p>
    <w:p>
      <w:pPr>
        <w:pStyle w:val="Heading2"/>
        <w:spacing w:after="150" w:before="300"/>
      </w:pPr>
      <w:r>
        <w:rPr>
          <w:color w:val="1F3864"/>
        </w:rPr>
        <w:t xml:space="preserve">2.1 Shapespark</w:t>
      </w:r>
    </w:p>
    <w:p>
      <w:pPr>
        <w:spacing w:after="200" w:line="300"/>
        <w:jc w:val="both"/>
      </w:pPr>
      <w:r>
        <w:rPr>
          <w:b/>
          <w:bCs/>
        </w:rPr>
        <w:t xml:space="preserve">Funcionalidades: </w:t>
      </w:r>
      <w:r>
        <w:t xml:space="preserve">Genera recorridos 3D interactivos en tiempo real, accesibles desde navegador web o visor VR, a partir de modelos importados. Dentro del recorrido, el usuario puede cambiar materiales (pisos, revestimientos, paredes) y encender o apagar luces de la escena de forma interactiva, con iluminación horneada de alta calidad precalculada.</w:t>
      </w:r>
    </w:p>
    <w:p>
      <w:pPr>
        <w:spacing w:after="200" w:line="300"/>
        <w:jc w:val="both"/>
      </w:pPr>
      <w:r>
        <w:rPr>
          <w:b/>
          <w:bCs/>
        </w:rPr>
        <w:t xml:space="preserve">Comercialización: </w:t>
      </w:r>
      <w:r>
        <w:t xml:space="preserve">Modelo SaaS (Software as a Service) con suscripción mensual, dirigido principalmente a estudios de arquitectura e inmobiliarias que necesitan publicar recorridos de sus proyectos sin requerir que el cliente final instale software adicional.</w:t>
      </w:r>
    </w:p>
    <w:p>
      <w:pPr>
        <w:spacing w:after="200" w:line="300"/>
        <w:jc w:val="both"/>
      </w:pPr>
      <w:r>
        <w:rPr>
          <w:b/>
          <w:bCs/>
        </w:rPr>
        <w:t xml:space="preserve">Tecnologías: </w:t>
      </w:r>
      <w:r>
        <w:t xml:space="preserve">Importación directa de modelos desde SketchUp, Revit y Blender; renderizado mediante WebGL para acceso desde navegador, con soporte WebXR para visualización en visores VR sin instalación nativa.</w:t>
      </w:r>
    </w:p>
    <w:p>
      <w:pPr>
        <w:pStyle w:val="Heading2"/>
        <w:spacing w:after="150" w:before="300"/>
      </w:pPr>
      <w:r>
        <w:rPr>
          <w:color w:val="1F3864"/>
        </w:rPr>
        <w:t xml:space="preserve">2.2 IrisVR (Prospect)</w:t>
      </w:r>
    </w:p>
    <w:p>
      <w:pPr>
        <w:spacing w:after="200" w:line="300"/>
        <w:jc w:val="both"/>
      </w:pPr>
      <w:r>
        <w:rPr>
          <w:b/>
          <w:bCs/>
        </w:rPr>
        <w:t xml:space="preserve">Funcionalidades: </w:t>
      </w:r>
      <w:r>
        <w:t xml:space="preserve">Plataforma inmersiva diseñada específicamente para equipos de arquitectura, ingeniería y construcción (AEC) que trabajan con modelos BIM. Permite a varios usuarios entrar simultáneamente en VR a inspeccionar el modelo arquitectónico a escala real, dejar anotaciones por voz directamente sobre elementos del modelo, y alternar la visibilidad de capas o materiales durante la revisión colaborativa del diseño.</w:t>
      </w:r>
    </w:p>
    <w:p>
      <w:pPr>
        <w:spacing w:after="200" w:line="300"/>
        <w:jc w:val="both"/>
      </w:pPr>
      <w:r>
        <w:rPr>
          <w:b/>
          <w:bCs/>
        </w:rPr>
        <w:t xml:space="preserve">Comercialización: </w:t>
      </w:r>
      <w:r>
        <w:t xml:space="preserve">Licenciamiento corporativo B2B dirigido a estudios de arquitectura y empresas constructoras, integrado como una herramienta más dentro de su flujo de trabajo BIM existente (no como producto de cara al consumidor final).</w:t>
      </w:r>
    </w:p>
    <w:p>
      <w:pPr>
        <w:spacing w:after="200" w:line="300"/>
        <w:jc w:val="both"/>
      </w:pPr>
      <w:r>
        <w:rPr>
          <w:b/>
          <w:bCs/>
        </w:rPr>
        <w:t xml:space="preserve">Tecnologías: </w:t>
      </w:r>
      <w:r>
        <w:t xml:space="preserve">Integración nativa con Revit, Navisworks y SketchUp; motor de aplicación construido sobre Unity, con soporte profundo para OpenXR y visores Oculus/Meta Quest y HTC Vive.</w:t>
      </w:r>
    </w:p>
    <w:p>
      <w:pPr>
        <w:pStyle w:val="Heading2"/>
        <w:spacing w:after="150" w:before="300"/>
      </w:pPr>
      <w:r>
        <w:rPr>
          <w:color w:val="1F3864"/>
        </w:rPr>
        <w:t xml:space="preserve">2.3 Roomle (Rubiq Cloud)</w:t>
      </w:r>
    </w:p>
    <w:p>
      <w:pPr>
        <w:spacing w:after="200" w:line="300"/>
        <w:jc w:val="both"/>
      </w:pPr>
      <w:r>
        <w:rPr>
          <w:b/>
          <w:bCs/>
        </w:rPr>
        <w:t xml:space="preserve">Funcionalidades: </w:t>
      </w:r>
      <w:r>
        <w:t xml:space="preserve">Configurador 3D/AR/VR avanzado orientado a mobiliario y espacios modulares. Permite a compradores personalizar de forma modular sus ambientes (combinando piezas de mobiliario y acabados), visualizar el resultado tanto en Realidad Aumentada sobre su espacio real como en un recorrido VR completo, y generar automáticamente una cotización del diseño configurado.</w:t>
      </w:r>
    </w:p>
    <w:p>
      <w:pPr>
        <w:spacing w:after="200" w:line="300"/>
        <w:jc w:val="both"/>
      </w:pPr>
      <w:r>
        <w:rPr>
          <w:b/>
          <w:bCs/>
        </w:rPr>
        <w:t xml:space="preserve">Comercialización: </w:t>
      </w:r>
      <w:r>
        <w:t xml:space="preserve">Integración B2B embebida en plataformas de e-commerce y marketplaces de empresas inmobiliarias y mueblerías, funcionando como motor de configuración de producto dentro del sitio del cliente corporativo (white-label).</w:t>
      </w:r>
    </w:p>
    <w:p>
      <w:pPr>
        <w:spacing w:after="200" w:line="300"/>
        <w:jc w:val="both"/>
      </w:pPr>
      <w:r>
        <w:rPr>
          <w:b/>
          <w:bCs/>
        </w:rPr>
        <w:t xml:space="preserve">Tecnologías: </w:t>
      </w:r>
      <w:r>
        <w:t xml:space="preserve">Motor de renderizado 3D propio ejecutado en el navegador, catálogo de piezas modulares alojado en la nube, y exportación de las especificaciones finales a formatos aptos para fabricación bajo pedido.</w:t>
      </w:r>
    </w:p>
    <w:p>
      <w:pPr>
        <w:pStyle w:val="Heading2"/>
        <w:spacing w:after="150" w:before="300"/>
      </w:pPr>
      <w:r>
        <w:rPr>
          <w:color w:val="1F3864"/>
        </w:rPr>
        <w:t xml:space="preserve">2.4 Relación con InmobiliariaVR</w:t>
      </w:r>
    </w:p>
    <w:p>
      <w:pPr>
        <w:spacing w:after="200" w:line="300"/>
        <w:jc w:val="both"/>
      </w:pPr>
      <w:r>
        <w:t xml:space="preserve">Las tres aplicaciones validan, cada una desde un ángulo distinto, componentes centrales de la propuesta de InmobiliariaVR: Shapespark confirma la viabilidad comercial de un recorrido 3D/VR con cambio interactivo de materiales como producto de preventa inmobiliaria; IrisVR demuestra que Unity con OpenXR es una base tecnológica suficientemente robusta para una aplicación VR profesional del sector AEC, la misma combinación que utiliza este proyecto; y Roomle valida el modelo de personalización modular con salida a cotización automática, que es exactamente el flujo de negocio que InmobiliariaVR busca implementar al conectar el módulo de personalización en VR con el marketplace y el backend. A diferencia de las tres, InmobiliariaVR incorpora además un asistente de inteligencia artificial ejecutado localmente (sin conexión a servidor externo) para interpretar pedidos en lenguaje natural, y una salida opcional hacia impresión 3D de una maqueta física — dos capacidades que no están presentes, de forma combinada, en ninguna de las tres aplicaciones de referencia analizadas.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InmobiliariaVR — Fundamentación Teórica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2026-09-11T03:35:56.347Z</dcterms:created>
  <dcterms:modified xsi:type="dcterms:W3CDTF">2026-09-11T03:35:56.351Z</dcterms:modified>
</cp:coreProperties>
</file>

<file path=docProps/custom.xml><?xml version="1.0" encoding="utf-8"?>
<Properties xmlns="http://schemas.openxmlformats.org/officeDocument/2006/custom-properties" xmlns:vt="http://schemas.openxmlformats.org/officeDocument/2006/docPropsVTypes"/>
</file>