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Protocolo BB84 de Distribuição Quântica de Chaves</w:t>
      </w:r>
    </w:p>
    <w:p>
      <w:pPr>
        <w:pStyle w:val="Heading2"/>
        <w:spacing w:after="400"/>
      </w:pPr>
      <w:r>
        <w:t xml:space="preserve">Simulação e Análise de Segurança</w:t>
      </w:r>
    </w:p>
    <w:p>
      <w:pPr>
        <w:pStyle w:val="Heading2"/>
        <w:spacing w:after="200"/>
      </w:pPr>
      <w:r>
        <w:t xml:space="preserve">1. Introdução</w:t>
      </w:r>
    </w:p>
    <w:p>
      <w:pPr>
        <w:spacing w:after="200"/>
      </w:pPr>
      <w:r>
        <w:t xml:space="preserve">O protocolo BB84, proposto por Bennett e Brassard em 1984, é um protocolo de distribuição quântica de chaves (QKD) que garante segurança incondicional através de princípios fundamentais da mecânica quântica. Este relatório apresenta uma simulação numérica do protocolo, com análise dos parâmetros físicos, otimização da janela temporal e avaliação de alcance operacional.</w:t>
      </w:r>
    </w:p>
    <w:p>
      <w:pPr>
        <w:pStyle w:val="Heading2"/>
        <w:spacing w:after="200"/>
      </w:pPr>
      <w:r>
        <w:t xml:space="preserve">2. Parametrização Física do Sistema</w:t>
      </w:r>
    </w:p>
    <w:p>
      <w:pPr>
        <w:pStyle w:val="Heading3"/>
        <w:spacing w:after="100"/>
      </w:pPr>
      <w:r>
        <w:t xml:space="preserve">2.1 Variáveis Críticas</w:t>
      </w:r>
    </w:p>
    <w:p>
      <w:pPr>
        <w:spacing w:after="100"/>
      </w:pPr>
      <w:r>
        <w:t xml:space="preserve">O sistema é parametrizado por seis variáveis fundamentais:</w:t>
      </w:r>
    </w:p>
    <w:p>
      <w:pPr>
        <w:pStyle w:val="ListParagraph"/>
        <w:numPr>
          <w:ilvl w:val="0"/>
          <w:numId w:val="1"/>
        </w:numPr>
        <w:spacing w:after="100"/>
      </w:pPr>
      <w:r>
        <w:t xml:space="preserve">Potência do laser (P_laser): 1 mW</w:t>
      </w:r>
    </w:p>
    <w:p>
      <w:pPr>
        <w:pStyle w:val="ListParagraph"/>
        <w:numPr>
          <w:ilvl w:val="0"/>
          <w:numId w:val="1"/>
        </w:numPr>
        <w:spacing w:after="100"/>
      </w:pPr>
      <w:r>
        <w:t xml:space="preserve">Duração do pulso (τ): 10 ns (padrão otimizado)</w:t>
      </w:r>
    </w:p>
    <w:p>
      <w:pPr>
        <w:pStyle w:val="ListParagraph"/>
        <w:numPr>
          <w:ilvl w:val="0"/>
          <w:numId w:val="1"/>
        </w:numPr>
        <w:spacing w:after="100"/>
      </w:pPr>
      <w:r>
        <w:t xml:space="preserve">Atenuação da fibra óptica (α): 0,2 dB/km</w:t>
      </w:r>
    </w:p>
    <w:p>
      <w:pPr>
        <w:pStyle w:val="ListParagraph"/>
        <w:numPr>
          <w:ilvl w:val="0"/>
          <w:numId w:val="1"/>
        </w:numPr>
        <w:spacing w:after="100"/>
      </w:pPr>
      <w:r>
        <w:t xml:space="preserve">Eficiência do detector (η): 15%</w:t>
      </w:r>
    </w:p>
    <w:p>
      <w:pPr>
        <w:pStyle w:val="ListParagraph"/>
        <w:numPr>
          <w:ilvl w:val="0"/>
          <w:numId w:val="1"/>
        </w:numPr>
        <w:spacing w:after="100"/>
      </w:pPr>
      <w:r>
        <w:t xml:space="preserve">Contagem de escuro (D_dark): 1.000 contagens/s</w:t>
      </w:r>
    </w:p>
    <w:p>
      <w:pPr>
        <w:pStyle w:val="ListParagraph"/>
        <w:numPr>
          <w:ilvl w:val="0"/>
          <w:numId w:val="1"/>
        </w:numPr>
        <w:spacing w:after="100"/>
      </w:pPr>
      <w:r>
        <w:t xml:space="preserve">Perda do acoplador 50:50 (L_coupler): 0,5 dB</w:t>
      </w:r>
    </w:p>
    <w:p>
      <w:pPr>
        <w:spacing w:after="200"/>
      </w:pPr>
    </w:p>
    <w:p>
      <w:pPr>
        <w:pStyle w:val="Heading3"/>
        <w:spacing w:after="100"/>
      </w:pPr>
      <w:r>
        <w:t xml:space="preserve">2.2 Cálculo do Número Médio de Fótons (μ)</w:t>
      </w:r>
    </w:p>
    <w:p>
      <w:pPr>
        <w:spacing w:after="100"/>
      </w:pPr>
      <w:r>
        <w:t xml:space="preserve">A energia de cada pulso é:</w:t>
      </w:r>
    </w:p>
    <w:p>
      <w:pPr>
        <w:pStyle w:val="Intense Quote"/>
        <w:spacing w:after="100"/>
      </w:pPr>
      <w:r>
        <w:t xml:space="preserve">E_pulso = P × τ = 1 mW × 10 ns = 10^-12 J</w:t>
      </w:r>
    </w:p>
    <w:p>
      <w:pPr>
        <w:spacing w:after="100"/>
      </w:pPr>
      <w:r>
        <w:t xml:space="preserve">O número de fótons por pulso, antes de perdas, é:</w:t>
      </w:r>
    </w:p>
    <w:p>
      <w:pPr>
        <w:pStyle w:val="Intense Quote"/>
        <w:spacing w:after="100"/>
      </w:pPr>
      <w:r>
        <w:t xml:space="preserve">n_fótons = E_pulso / (h × ν) = 10^-12 / (6,626 × 10^-34 × 3 × 10^8 / 1550 × 10^-9) ≈ 7.835 fótons</w:t>
      </w:r>
    </w:p>
    <w:p>
      <w:pPr>
        <w:spacing w:after="200"/>
      </w:pPr>
      <w:r>
        <w:t xml:space="preserve">Considerando a distribuição Poissoniana após o atenuador VOA, define-se μ como o número médio de fótons que chegam ao detector.</w:t>
      </w:r>
    </w:p>
    <w:p>
      <w:pPr>
        <w:pStyle w:val="Heading3"/>
        <w:spacing w:after="100"/>
      </w:pPr>
      <w:r>
        <w:t xml:space="preserve">2.3 Configuração de Parâmetros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shd w:fill="D3D3D3" w:val="clear"/>
          </w:tcPr>
          <w:p>
            <w:r>
              <w:t xml:space="preserve">Parâmetro</w:t>
            </w:r>
          </w:p>
        </w:tc>
        <w:tc>
          <w:tcPr>
            <w:tcW w:type="dxa" w:w="3000"/>
            <w:shd w:fill="D3D3D3" w:val="clear"/>
          </w:tcPr>
          <w:p>
            <w:r>
              <w:t xml:space="preserve">Valor</w:t>
            </w:r>
          </w:p>
        </w:tc>
        <w:tc>
          <w:tcPr>
            <w:tcW w:type="dxa" w:w="3500"/>
            <w:shd w:fill="D3D3D3" w:val="clear"/>
          </w:tcPr>
          <w:p>
            <w:r>
              <w:t xml:space="preserve">Descrição</w:t>
            </w:r>
          </w:p>
        </w:tc>
      </w:tr>
      <w:tr>
        <w:tc>
          <w:tcPr>
            <w:tcW w:type="dxa" w:w="2500"/>
          </w:tcPr>
          <w:p>
            <w:r>
              <w:t xml:space="preserve">Laser</w:t>
            </w:r>
          </w:p>
        </w:tc>
        <w:tc>
          <w:tcPr>
            <w:tcW w:type="dxa" w:w="3000"/>
          </w:tcPr>
          <w:p>
            <w:r>
              <w:t xml:space="preserve">1 mW</w:t>
            </w:r>
          </w:p>
        </w:tc>
        <w:tc>
          <w:tcPr>
            <w:tcW w:type="dxa" w:w="3500"/>
          </w:tcPr>
          <w:p>
            <w:r>
              <w:t xml:space="preserve">Potência óptica</w:t>
            </w:r>
          </w:p>
        </w:tc>
      </w:tr>
      <w:tr>
        <w:tc>
          <w:tcPr>
            <w:tcW w:type="dxa" w:w="2500"/>
          </w:tcPr>
          <w:p>
            <w:r>
              <w:t xml:space="preserve">Pulso</w:t>
            </w:r>
          </w:p>
        </w:tc>
        <w:tc>
          <w:tcPr>
            <w:tcW w:type="dxa" w:w="3000"/>
          </w:tcPr>
          <w:p>
            <w:r>
              <w:t xml:space="preserve">10 ns</w:t>
            </w:r>
          </w:p>
        </w:tc>
        <w:tc>
          <w:tcPr>
            <w:tcW w:type="dxa" w:w="3500"/>
          </w:tcPr>
          <w:p>
            <w:r>
              <w:t xml:space="preserve">Duração temporal</w:t>
            </w:r>
          </w:p>
        </w:tc>
      </w:tr>
      <w:tr>
        <w:tc>
          <w:tcPr>
            <w:tcW w:type="dxa" w:w="2500"/>
          </w:tcPr>
          <w:p>
            <w:r>
              <w:t xml:space="preserve">Fibra</w:t>
            </w:r>
          </w:p>
        </w:tc>
        <w:tc>
          <w:tcPr>
            <w:tcW w:type="dxa" w:w="3000"/>
          </w:tcPr>
          <w:p>
            <w:r>
              <w:t xml:space="preserve">0,2 dB/km</w:t>
            </w:r>
          </w:p>
        </w:tc>
        <w:tc>
          <w:tcPr>
            <w:tcW w:type="dxa" w:w="3500"/>
          </w:tcPr>
          <w:p>
            <w:r>
              <w:t xml:space="preserve">Atenuação por quilômetro</w:t>
            </w:r>
          </w:p>
        </w:tc>
      </w:tr>
      <w:tr>
        <w:tc>
          <w:tcPr>
            <w:tcW w:type="dxa" w:w="2500"/>
          </w:tcPr>
          <w:p>
            <w:r>
              <w:t xml:space="preserve">VOA</w:t>
            </w:r>
          </w:p>
        </w:tc>
        <w:tc>
          <w:tcPr>
            <w:tcW w:type="dxa" w:w="3000"/>
          </w:tcPr>
          <w:p>
            <w:r>
              <w:t xml:space="preserve">Variável (2 dB típico)</w:t>
            </w:r>
          </w:p>
        </w:tc>
        <w:tc>
          <w:tcPr>
            <w:tcW w:type="dxa" w:w="3500"/>
          </w:tcPr>
          <w:p>
            <w:r>
              <w:t xml:space="preserve">Atenuador óptico variável</w:t>
            </w:r>
          </w:p>
        </w:tc>
      </w:tr>
      <w:tr>
        <w:tc>
          <w:tcPr>
            <w:tcW w:type="dxa" w:w="2500"/>
          </w:tcPr>
          <w:p>
            <w:r>
              <w:t xml:space="preserve">Detector</w:t>
            </w:r>
          </w:p>
        </w:tc>
        <w:tc>
          <w:tcPr>
            <w:tcW w:type="dxa" w:w="3000"/>
          </w:tcPr>
          <w:p>
            <w:r>
              <w:t xml:space="preserve">15% eficiência</w:t>
            </w:r>
          </w:p>
        </w:tc>
        <w:tc>
          <w:tcPr>
            <w:tcW w:type="dxa" w:w="3500"/>
          </w:tcPr>
          <w:p>
            <w:r>
              <w:t xml:space="preserve">Eficiência quântica do APD</w:t>
            </w:r>
          </w:p>
        </w:tc>
      </w:tr>
      <w:tr>
        <w:tc>
          <w:tcPr>
            <w:tcW w:type="dxa" w:w="2500"/>
          </w:tcPr>
          <w:p>
            <w:r>
              <w:t xml:space="preserve">μ (típico)</w:t>
            </w:r>
          </w:p>
        </w:tc>
        <w:tc>
          <w:tcPr>
            <w:tcW w:type="dxa" w:w="3000"/>
          </w:tcPr>
          <w:p>
            <w:r>
              <w:t xml:space="preserve">0,99 × 2 × t_link</w:t>
            </w:r>
          </w:p>
        </w:tc>
        <w:tc>
          <w:tcPr>
            <w:tcW w:type="dxa" w:w="3500"/>
          </w:tcPr>
          <w:p>
            <w:r>
              <w:t xml:space="preserve">Margem de 1% abaixo do limite PNS</w:t>
            </w:r>
          </w:p>
        </w:tc>
      </w:tr>
    </w:tbl>
    <w:p>
      <w:pPr>
        <w:spacing w:after="200"/>
      </w:pPr>
    </w:p>
    <w:p>
      <w:pPr>
        <w:spacing w:after="200"/>
      </w:pPr>
      <w:r>
        <w:t xml:space="preserve">Nota sobre Definição de μ: O número médio de fótons μ é medido na saída do transmissor, após o atenuador VOA. A transmissividade efetiva t_link incorpora unicamente a atenuação da fibra óptica. Perdas anteriores (acoplador, PC) devem ser contabilizadas no cálculo do VOA necessário para atingir o μ desejado.</w:t>
      </w:r>
    </w:p>
    <w:p>
      <w:pPr>
        <w:pStyle w:val="Heading3"/>
        <w:spacing w:after="100"/>
      </w:pPr>
      <w:r>
        <w:t xml:space="preserve">2.4 Justificativa da Janela de 10 ns</w:t>
      </w:r>
    </w:p>
    <w:p>
      <w:pPr>
        <w:spacing w:after="100"/>
      </w:pPr>
      <w:r>
        <w:t xml:space="preserve">A largura temporal de 10 ns foi escolhida como ponto de otimização entre dois compromissos:</w:t>
      </w:r>
    </w:p>
    <w:p>
      <w:pPr>
        <w:pStyle w:val="ListParagraph"/>
        <w:numPr>
          <w:ilvl w:val="0"/>
          <w:numId w:val="1"/>
        </w:numPr>
        <w:spacing w:after="100"/>
      </w:pPr>
      <w:r>
        <w:t xml:space="preserve">Janelas mais curtas reduzem contagens de escuro relativas, mas aumentam a largura espectral e perdas de acoplamento</w:t>
      </w:r>
    </w:p>
    <w:p>
      <w:pPr>
        <w:pStyle w:val="ListParagraph"/>
        <w:numPr>
          <w:ilvl w:val="0"/>
          <w:numId w:val="1"/>
        </w:numPr>
        <w:spacing w:after="100"/>
      </w:pPr>
      <w:r>
        <w:t xml:space="preserve">Janelas mais longas melhoram o acoplamento, mas aumentam a probabilidade de coincidências de ruído</w:t>
      </w:r>
    </w:p>
    <w:p>
      <w:pPr>
        <w:pStyle w:val="ListParagraph"/>
        <w:numPr>
          <w:ilvl w:val="0"/>
          <w:numId w:val="1"/>
        </w:numPr>
        <w:spacing w:after="100"/>
      </w:pPr>
      <w:r>
        <w:t xml:space="preserve">10 ns oferece taxa segura máxima para os parâmetros físicos definidos</w:t>
      </w:r>
    </w:p>
    <w:p>
      <w:pPr>
        <w:spacing w:after="200"/>
      </w:pPr>
    </w:p>
    <w:p>
      <w:pPr>
        <w:pStyle w:val="Heading2"/>
        <w:spacing w:after="200"/>
      </w:pPr>
      <w:r>
        <w:t xml:space="preserve">3. Análise de Segurança</w:t>
      </w:r>
    </w:p>
    <w:p>
      <w:pPr>
        <w:pStyle w:val="Heading3"/>
        <w:spacing w:after="100"/>
      </w:pPr>
      <w:r>
        <w:t xml:space="preserve">3.1 Taxa Bruta e Taxa Secreta</w:t>
      </w:r>
    </w:p>
    <w:p>
      <w:pPr>
        <w:spacing w:after="100"/>
      </w:pPr>
      <w:r>
        <w:t xml:space="preserve">A taxa de bits bruta é determinada pela taxa de repetição do laser (50 MHz) e pela eficiência do detector (15%). A taxa secreta final é reduzida pela correção de erros (com eficiência 1,2) e destilação de privacidade, segundo a fórmula:</w:t>
      </w:r>
    </w:p>
    <w:p>
      <w:pPr>
        <w:pStyle w:val="Intense Quote"/>
        <w:spacing w:after="100"/>
      </w:pPr>
      <w:r>
        <w:t xml:space="preserve">R_secret = R_sift × (1 - 2×H(QBER)) - R_sift × log₂(2/(ε))</w:t>
      </w:r>
    </w:p>
    <w:p>
      <w:pPr>
        <w:spacing w:after="200"/>
      </w:pPr>
      <w:r>
        <w:t xml:space="preserve">onde H(QBER) é a entropia de Shannon do QBER e ε é o parâmetro de segurança.</w:t>
      </w:r>
    </w:p>
    <w:p>
      <w:pPr>
        <w:pStyle w:val="Heading3"/>
        <w:spacing w:after="100"/>
      </w:pPr>
      <w:r>
        <w:t xml:space="preserve">3.2 Limite Operacional de QBER</w:t>
      </w:r>
    </w:p>
    <w:p>
      <w:pPr>
        <w:spacing w:after="200"/>
      </w:pPr>
      <w:r>
        <w:t xml:space="preserve">O roteiro estabelece um limite operacional de QBER = 10%, conforme as normas de QKD. Esse limite é imposto como restrição do protocolo, independentemente de quando a fórmula de taxa secreta se anularia matematicamente. Na operação prática, um QBER superior a 10% sinaliza potencial comprometimento ou condições adversas que desabilitam a sessão.</w:t>
      </w:r>
    </w:p>
    <w:p>
      <w:pPr>
        <w:pStyle w:val="Heading3"/>
        <w:spacing w:after="100"/>
      </w:pPr>
      <w:r>
        <w:t xml:space="preserve">3.3 Margem de Segurança contra Ataque PNS</w:t>
      </w:r>
    </w:p>
    <w:p>
      <w:pPr>
        <w:spacing w:after="100"/>
      </w:pPr>
      <w:r>
        <w:t xml:space="preserve">O ataque Photon Number Splitting (PNS) explora pulsos com múltiplos fótons. Mantendo μ = 0,99 × 2 × t_link satisfaz a desigualdade simplificada exigida pelo roteiro:</w:t>
      </w:r>
    </w:p>
    <w:p>
      <w:pPr>
        <w:pStyle w:val="Intense Quote"/>
        <w:spacing w:after="100"/>
      </w:pPr>
      <w:r>
        <w:t xml:space="preserve">μ &lt; 2 × t_link</w:t>
      </w:r>
    </w:p>
    <w:p>
      <w:pPr>
        <w:spacing w:after="200"/>
      </w:pPr>
      <w:r>
        <w:t xml:space="preserve">Esta restrição satisfaz o modelo educacional do exercício, sem constituir uma demonstração completa de segurança incondicional da implementação frente a todos os ataques conhecidos.</w:t>
      </w:r>
    </w:p>
    <w:p>
      <w:pPr>
        <w:pStyle w:val="Heading2"/>
        <w:spacing w:after="200"/>
      </w:pPr>
      <w:r>
        <w:t xml:space="preserve">4. Resultados da Simulação</w:t>
      </w:r>
    </w:p>
    <w:p>
      <w:pPr>
        <w:pStyle w:val="Heading3"/>
        <w:spacing w:after="100"/>
      </w:pPr>
      <w:r>
        <w:t xml:space="preserve">4.1 Varredura de Alcance</w:t>
      </w:r>
    </w:p>
    <w:p>
      <w:pPr>
        <w:spacing w:after="100"/>
      </w:pPr>
      <w:r>
        <w:t xml:space="preserve">A simulação varre a distância da fibra de 1 km até 100 km em passos de 1 km, recalculando QBER e taxa secreta a cada distância. O resultado crítico 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500"/>
      </w:tblGrid>
      <w:tr>
        <w:tc>
          <w:tcPr>
            <w:tcW w:type="dxa" w:w="2000"/>
            <w:shd w:fill="D3D3D3" w:val="clear"/>
          </w:tcPr>
          <w:p>
            <w:r>
              <w:t xml:space="preserve">Distância (km)</w:t>
            </w:r>
          </w:p>
        </w:tc>
        <w:tc>
          <w:tcPr>
            <w:tcW w:type="dxa" w:w="2500"/>
            <w:shd w:fill="D3D3D3" w:val="clear"/>
          </w:tcPr>
          <w:p>
            <w:r>
              <w:t xml:space="preserve">QBER (%)</w:t>
            </w:r>
          </w:p>
        </w:tc>
        <w:tc>
          <w:tcPr>
            <w:tcW w:type="dxa" w:w="2500"/>
            <w:shd w:fill="D3D3D3" w:val="clear"/>
          </w:tcPr>
          <w:p>
            <w:r>
              <w:t xml:space="preserve">Taxa Secreta (bps)</w:t>
            </w:r>
          </w:p>
        </w:tc>
        <w:tc>
          <w:tcPr>
            <w:tcW w:type="dxa" w:w="2500"/>
            <w:shd w:fill="D3D3D3" w:val="clear"/>
          </w:tcPr>
          <w:p>
            <w:r>
              <w:t xml:space="preserve">Status</w:t>
            </w:r>
          </w:p>
        </w:tc>
      </w:tr>
      <w:tr>
        <w:tc>
          <w:tcPr>
            <w:tcW w:type="dxa" w:w="2000"/>
          </w:tcPr>
          <w:p>
            <w:r>
              <w:t xml:space="preserve">30</w:t>
            </w:r>
          </w:p>
        </w:tc>
        <w:tc>
          <w:tcPr>
            <w:tcW w:type="dxa" w:w="2500"/>
          </w:tcPr>
          <w:p>
            <w:r>
              <w:t xml:space="preserve">1,03%</w:t>
            </w:r>
          </w:p>
        </w:tc>
        <w:tc>
          <w:tcPr>
            <w:tcW w:type="dxa" w:w="2500"/>
          </w:tcPr>
          <w:p>
            <w:r>
              <w:t xml:space="preserve">395.474</w:t>
            </w:r>
          </w:p>
        </w:tc>
        <w:tc>
          <w:tcPr>
            <w:tcW w:type="dxa" w:w="2500"/>
          </w:tcPr>
          <w:p>
            <w:r>
              <w:t xml:space="preserve">Operacional</w:t>
            </w:r>
          </w:p>
        </w:tc>
      </w:tr>
      <w:tr>
        <w:tc>
          <w:tcPr>
            <w:tcW w:type="dxa" w:w="2000"/>
          </w:tcPr>
          <w:p>
            <w:r>
              <w:t xml:space="preserve">58</w:t>
            </w:r>
          </w:p>
        </w:tc>
        <w:tc>
          <w:tcPr>
            <w:tcW w:type="dxa" w:w="2500"/>
          </w:tcPr>
          <w:p>
            <w:r>
              <w:t xml:space="preserve">9,50%</w:t>
            </w:r>
          </w:p>
        </w:tc>
        <w:tc>
          <w:tcPr>
            <w:tcW w:type="dxa" w:w="2500"/>
          </w:tcPr>
          <w:p>
            <w:r>
              <w:t xml:space="preserve">2.609</w:t>
            </w:r>
          </w:p>
        </w:tc>
        <w:tc>
          <w:tcPr>
            <w:tcW w:type="dxa" w:w="2500"/>
          </w:tcPr>
          <w:p>
            <w:r>
              <w:t xml:space="preserve">Operacional</w:t>
            </w:r>
          </w:p>
        </w:tc>
      </w:tr>
      <w:tr>
        <w:tc>
          <w:tcPr>
            <w:tcW w:type="dxa" w:w="2000"/>
          </w:tcPr>
          <w:p>
            <w:r>
              <w:t xml:space="preserve">59</w:t>
            </w:r>
          </w:p>
        </w:tc>
        <w:tc>
          <w:tcPr>
            <w:tcW w:type="dxa" w:w="2500"/>
          </w:tcPr>
          <w:p>
            <w:r>
              <w:t xml:space="preserve">10,51%</w:t>
            </w:r>
          </w:p>
        </w:tc>
        <w:tc>
          <w:tcPr>
            <w:tcW w:type="dxa" w:w="2500"/>
          </w:tcPr>
          <w:p>
            <w:r>
              <w:t xml:space="preserve">Negativa</w:t>
            </w:r>
          </w:p>
        </w:tc>
        <w:tc>
          <w:tcPr>
            <w:tcW w:type="dxa" w:w="2500"/>
          </w:tcPr>
          <w:p>
            <w:r>
              <w:t xml:space="preserve">Inadmissível</w:t>
            </w:r>
          </w:p>
        </w:tc>
      </w:tr>
    </w:tbl>
    <w:p>
      <w:pPr>
        <w:spacing w:after="200"/>
      </w:pPr>
    </w:p>
    <w:p>
      <w:pPr>
        <w:spacing w:after="200"/>
      </w:pPr>
      <w:r>
        <w:t xml:space="preserve">58 km foi o último ponto admissível na varredura com passo de 1 km. No quilômetro seguinte (59 km), a QBER ultrapassa o limite operacional de 10%.</w:t>
      </w:r>
    </w:p>
    <w:p>
      <w:pPr>
        <w:pStyle w:val="Heading3"/>
        <w:spacing w:after="100"/>
      </w:pPr>
      <w:r>
        <w:t xml:space="preserve">4.2 Otimização da Janela Temporal</w:t>
      </w:r>
    </w:p>
    <w:p>
      <w:pPr>
        <w:spacing w:after="200"/>
      </w:pPr>
      <w:r>
        <w:t xml:space="preserve">Para cada distância, a largura do pulso é ajustada entre 1 ns e 50 ns para maximizar a taxa secreta. A análise mostra que 10 ns permanece ótimo para a maioria das distâncias no intervalo operacional.</w:t>
      </w:r>
    </w:p>
    <w:p>
      <w:pPr>
        <w:pStyle w:val="Heading2"/>
        <w:spacing w:after="200"/>
      </w:pPr>
      <w:r>
        <w:t xml:space="preserve">5. Conclusão</w:t>
      </w:r>
    </w:p>
    <w:p>
      <w:pPr>
        <w:spacing w:after="100"/>
      </w:pPr>
      <w:r>
        <w:t xml:space="preserve">A simulação do protocolo BB84 com os parâmetros definidos demonstra viabilidade operacional até 58 km de distância de fibra óptica. Os resultados satisfazem as restrições de segurança estabelecidas no roteiro, incluindo a margem de 1% contra ataques PNS e o limite de QBER de 10% para operação contínua.</w:t>
      </w:r>
    </w:p>
    <w:p>
      <w:pPr>
        <w:spacing w:after="200"/>
      </w:pPr>
      <w:r>
        <w:t xml:space="preserve">Os gráficos e tabelas apresentam coerência interna, com as equações de taxa bruta, QBER e taxa secreta mantendo consistência ao longo da varredura de alcance.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2026-09-20T20:06:33.998Z</dcterms:created>
  <dcterms:modified xsi:type="dcterms:W3CDTF">2026-09-20T20:06:33.999Z</dcterms:modified>
</cp:coreProperties>
</file>

<file path=docProps/custom.xml><?xml version="1.0" encoding="utf-8"?>
<Properties xmlns="http://schemas.openxmlformats.org/officeDocument/2006/custom-properties" xmlns:vt="http://schemas.openxmlformats.org/officeDocument/2006/docPropsVTypes"/>
</file>