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Distribuição Quântica de Chaves Independente do Dispositivo (MDI-QKD)</w:t>
      </w:r>
    </w:p>
    <w:p>
      <w:pPr>
        <w:pStyle w:val="Heading2"/>
        <w:spacing w:after="400"/>
      </w:pPr>
      <w:r>
        <w:t xml:space="preserve">Simulação e Análise de Segurança</w:t>
      </w:r>
    </w:p>
    <w:p>
      <w:pPr>
        <w:pStyle w:val="Heading2"/>
        <w:spacing w:after="200"/>
      </w:pPr>
      <w:r>
        <w:t xml:space="preserve">1. Introdução</w:t>
      </w:r>
    </w:p>
    <w:p>
      <w:pPr>
        <w:spacing w:after="100"/>
      </w:pPr>
      <w:r>
        <w:t xml:space="preserve">O protocolo MDI-QKD (Measurement-Device-Independent QKD) foi proposto por Lo, Curty e Qi em 2012 como resposta aos ataques aos detectores em sistemas QKD. Diferentemente do BB84 que assume transmissores e receptores corretos, o MDI-QKD remove a necessidade de confiar em detectores, deixando apenas a fonte de fótons sem truques.</w:t>
      </w:r>
    </w:p>
    <w:p>
      <w:pPr>
        <w:spacing w:after="200"/>
      </w:pPr>
      <w:r>
        <w:t xml:space="preserve">O protocolo alcança distâncias maiores que o BB84 ao usar medições de Bell no ponto intermediário, aumentando a tolerância a ruído e perdas.</w:t>
      </w:r>
    </w:p>
    <w:p>
      <w:pPr>
        <w:pStyle w:val="Heading2"/>
        <w:spacing w:after="200"/>
      </w:pPr>
      <w:r>
        <w:t xml:space="preserve">2. Arquitetura do Sistema MDI-QKD</w:t>
      </w:r>
    </w:p>
    <w:p>
      <w:pPr>
        <w:pStyle w:val="Heading3"/>
        <w:spacing w:after="100"/>
      </w:pPr>
      <w:r>
        <w:t xml:space="preserve">2.1 Componentes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shd w:fill="D3D3D3" w:val="clear"/>
          </w:tcPr>
          <w:p>
            <w:r>
              <w:t xml:space="preserve">Componente</w:t>
            </w:r>
          </w:p>
        </w:tc>
        <w:tc>
          <w:tcPr>
            <w:tcW w:type="dxa" w:w="3500"/>
            <w:shd w:fill="D3D3D3" w:val="clear"/>
          </w:tcPr>
          <w:p>
            <w:r>
              <w:t xml:space="preserve">Função</w:t>
            </w:r>
          </w:p>
        </w:tc>
        <w:tc>
          <w:tcPr>
            <w:tcW w:type="dxa" w:w="4000"/>
            <w:shd w:fill="D3D3D3" w:val="clear"/>
          </w:tcPr>
          <w:p>
            <w:r>
              <w:t xml:space="preserve">Especificação</w:t>
            </w:r>
          </w:p>
        </w:tc>
      </w:tr>
      <w:tr>
        <w:tc>
          <w:tcPr>
            <w:tcW w:type="dxa" w:w="2500"/>
          </w:tcPr>
          <w:p>
            <w:r>
              <w:t xml:space="preserve">Alice (Transmissor A)</w:t>
            </w:r>
          </w:p>
        </w:tc>
        <w:tc>
          <w:tcPr>
            <w:tcW w:type="dxa" w:w="3500"/>
          </w:tcPr>
          <w:p>
            <w:r>
              <w:t xml:space="preserve">Envia fótons com base e intensidade aleatórias</w:t>
            </w:r>
          </w:p>
        </w:tc>
        <w:tc>
          <w:tcPr>
            <w:tcW w:type="dxa" w:w="4000"/>
          </w:tcPr>
          <w:p>
            <w:r>
              <w:t xml:space="preserve">Laser + MOD + VOA + QRNG</w:t>
            </w:r>
          </w:p>
        </w:tc>
      </w:tr>
      <w:tr>
        <w:tc>
          <w:tcPr>
            <w:tcW w:type="dxa" w:w="2500"/>
          </w:tcPr>
          <w:p>
            <w:r>
              <w:t xml:space="preserve">Bob (Transmissor B)</w:t>
            </w:r>
          </w:p>
        </w:tc>
        <w:tc>
          <w:tcPr>
            <w:tcW w:type="dxa" w:w="3500"/>
          </w:tcPr>
          <w:p>
            <w:r>
              <w:t xml:space="preserve">Envia fótons com base e intensidade aleatórias</w:t>
            </w:r>
          </w:p>
        </w:tc>
        <w:tc>
          <w:tcPr>
            <w:tcW w:type="dxa" w:w="4000"/>
          </w:tcPr>
          <w:p>
            <w:r>
              <w:t xml:space="preserve">Laser + MOD + VOA + QRNG (idêntico a Alice)</w:t>
            </w:r>
          </w:p>
        </w:tc>
      </w:tr>
      <w:tr>
        <w:tc>
          <w:tcPr>
            <w:tcW w:type="dxa" w:w="2500"/>
          </w:tcPr>
          <w:p>
            <w:r>
              <w:t xml:space="preserve">Point (Ponto Intermediário)</w:t>
            </w:r>
          </w:p>
        </w:tc>
        <w:tc>
          <w:tcPr>
            <w:tcW w:type="dxa" w:w="3500"/>
          </w:tcPr>
          <w:p>
            <w:r>
              <w:t xml:space="preserve">Realiza medições de Bell com BS central</w:t>
            </w:r>
          </w:p>
        </w:tc>
        <w:tc>
          <w:tcPr>
            <w:tcW w:type="dxa" w:w="4000"/>
          </w:tcPr>
          <w:p>
            <w:r>
              <w:t xml:space="preserve">BS 50:50 + PBS nas saídas + APDs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2.2 Modulação e Geração de Bits</w:t>
      </w:r>
    </w:p>
    <w:p>
      <w:pPr>
        <w:spacing w:after="100"/>
      </w:pPr>
      <w:r>
        <w:t xml:space="preserve">Cada transmissor (Alice e Bob) seleciona três quantidades de forma independente e aleatória: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Bit a ser codificado (0 ou 1): 50 Mbit/s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Base de polarização (Rectilinear ou Diagonal): 50 Mbit/s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Intensidade do pulso (Sinal, Isca 1 ou Isca 2): log₂(3) ≈ 1,585 Mbit/s</w:t>
      </w:r>
    </w:p>
    <w:p>
      <w:pPr>
        <w:spacing w:after="100"/>
      </w:pPr>
      <w:r>
        <w:t xml:space="preserve">Para três intensidades equiprováveis (1/3 cada), a taxa de bits do QRNG por emissor é:</w:t>
      </w:r>
    </w:p>
    <w:p>
      <w:pPr>
        <w:pStyle w:val="Intense Quote"/>
        <w:spacing w:after="200"/>
      </w:pPr>
      <w:r>
        <w:t xml:space="preserve">R_QRNG = 50 M × [1 + 1 + log₂(3)] ≈ 50 M × 3,585 ≈ 179,25 Mbit/s</w:t>
      </w:r>
    </w:p>
    <w:p>
      <w:pPr>
        <w:pStyle w:val="Heading3"/>
        <w:spacing w:after="100"/>
      </w:pPr>
      <w:r>
        <w:t xml:space="preserve">2.3 Aparato Óptico e Detecção</w:t>
      </w:r>
    </w:p>
    <w:p>
      <w:pPr>
        <w:spacing w:after="200"/>
      </w:pPr>
      <w:r>
        <w:t xml:space="preserve">Os fótons de Alice e Bob interferem em um beamsplitter central (BS), onde ocorre a medição de Bell. As duas saídas do BS alimentam polarization beam splitters (PBS) que separam as polarizações rectilinear (saída 0/2) e diagonal (saída 1/3).</w:t>
      </w:r>
    </w:p>
    <w:p>
      <w:pPr>
        <w:pStyle w:val="Heading3"/>
        <w:spacing w:after="100"/>
      </w:pPr>
      <w:r>
        <w:t xml:space="preserve">2.4 Mapeamento de Detectores e Tabela de Coincidências</w:t>
      </w:r>
    </w:p>
    <w:p>
      <w:pPr>
        <w:spacing w:after="100"/>
      </w:pPr>
      <w:r>
        <w:t xml:space="preserve">O arranjo possui 4 detectores APD com as seguintes atribuições: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 0: Saída 0 (BS1) × Polarização Rectilinear (PBS1)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 1: Saída 0 (BS1) × Polarização Diagonal (PBS1)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 2: Saída 1 (BS2) × Polarização Rectilinear (PBS2)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 3: Saída 1 (BS2) × Polarização Diagonal (PBS2)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200"/>
      </w:tblGrid>
      <w:tr>
        <w:tc>
          <w:tcPr>
            <w:tcW w:type="dxa" w:w="1800"/>
            <w:shd w:fill="D3D3D3" w:val="clear"/>
          </w:tcPr>
          <w:p>
            <w:r>
              <w:t xml:space="preserve">Det 0-Det 1</w:t>
            </w:r>
          </w:p>
        </w:tc>
        <w:tc>
          <w:tcPr>
            <w:tcW w:type="dxa" w:w="1800"/>
            <w:shd w:fill="D3D3D3" w:val="clear"/>
          </w:tcPr>
          <w:p>
            <w:r>
              <w:t xml:space="preserve">Det 0-Det 2</w:t>
            </w:r>
          </w:p>
        </w:tc>
        <w:tc>
          <w:tcPr>
            <w:tcW w:type="dxa" w:w="1800"/>
            <w:shd w:fill="D3D3D3" w:val="clear"/>
          </w:tcPr>
          <w:p>
            <w:r>
              <w:t xml:space="preserve">Det 0-Det 3</w:t>
            </w:r>
          </w:p>
        </w:tc>
        <w:tc>
          <w:tcPr>
            <w:tcW w:type="dxa" w:w="1800"/>
            <w:shd w:fill="D3D3D3" w:val="clear"/>
          </w:tcPr>
          <w:p>
            <w:r>
              <w:t xml:space="preserve">Det 2-Det 3</w:t>
            </w:r>
          </w:p>
        </w:tc>
        <w:tc>
          <w:tcPr>
            <w:tcW w:type="dxa" w:w="2200"/>
            <w:shd w:fill="D3D3D3" w:val="clear"/>
          </w:tcPr>
          <w:p>
            <w:r>
              <w:t xml:space="preserve">Descrição</w:t>
            </w:r>
          </w:p>
        </w:tc>
      </w:tr>
      <w:tr>
        <w:tc>
          <w:tcPr>
            <w:tcW w:type="dxa" w:w="1800"/>
          </w:tcPr>
          <w:p>
            <w:r>
              <w:t xml:space="preserve">|ψ-⟩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|Φ+⟩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2200"/>
          </w:tcPr>
          <w:p>
            <w:r>
              <w:t xml:space="preserve">Estados de Bell válidos</w:t>
            </w:r>
          </w:p>
        </w:tc>
      </w:tr>
      <w:tr>
        <w:tc>
          <w:tcPr>
            <w:tcW w:type="dxa" w:w="1800"/>
          </w:tcPr>
          <w:p>
            <w:r>
              <w:t xml:space="preserve">Descartadas</w:t>
            </w:r>
          </w:p>
        </w:tc>
        <w:tc>
          <w:tcPr>
            <w:tcW w:type="dxa" w:w="1800"/>
          </w:tcPr>
          <w:p>
            <w:r>
              <w:t xml:space="preserve">Descartadas</w:t>
            </w:r>
          </w:p>
        </w:tc>
        <w:tc>
          <w:tcPr>
            <w:tcW w:type="dxa" w:w="1800"/>
          </w:tcPr>
          <w:p>
            <w:r>
              <w:t xml:space="preserve">Descartadas</w:t>
            </w:r>
          </w:p>
        </w:tc>
        <w:tc>
          <w:tcPr>
            <w:tcW w:type="dxa" w:w="1800"/>
          </w:tcPr>
          <w:p>
            <w:r>
              <w:t xml:space="preserve">Descartadas</w:t>
            </w:r>
          </w:p>
        </w:tc>
        <w:tc>
          <w:tcPr>
            <w:tcW w:type="dxa" w:w="2200"/>
          </w:tcPr>
          <w:p>
            <w:r>
              <w:t xml:space="preserve">Coincidências sem correspondência Bell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2.5 Implementação de Decoy States</w:t>
      </w:r>
    </w:p>
    <w:p>
      <w:pPr>
        <w:spacing w:after="100"/>
      </w:pPr>
      <w:r>
        <w:t xml:space="preserve">O protocolo utiliza decoy states para proteger-se contra ataques ao detector (PNS). A implementação envolve: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Intensidade de sinal (μ_s): principal, utilizada para extrair chave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Intensidade isca 1 (μ_d1): menor que μ_s, para estimação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Intensidade isca 2 (μ_d2): variável, para confirmação de unicidade</w:t>
      </w:r>
    </w:p>
    <w:p>
      <w:pPr>
        <w:spacing w:after="100"/>
      </w:pPr>
      <w:r>
        <w:t xml:space="preserve">As contribuições de fótons únicos (Y₁₁) são estimadas a partir das coincidências em cada intensidade. No modelo simplificado desta simulação, fixamos μ_s = 0,5 e estimamos as probabilidades relativas. Uma implementação completa calcularia:</w:t>
      </w:r>
    </w:p>
    <w:p>
      <w:pPr>
        <w:pStyle w:val="Intense Quote"/>
        <w:spacing w:after="200"/>
      </w:pPr>
      <w:r>
        <w:t xml:space="preserve">Y₁₁ ≈ (coincidências_sinal − α × coincidências_isca) / (1 − α)</w:t>
      </w:r>
    </w:p>
    <w:p>
      <w:pPr>
        <w:pStyle w:val="Heading2"/>
        <w:spacing w:after="200"/>
      </w:pPr>
      <w:r>
        <w:t xml:space="preserve">3. Resultados da Simulação</w:t>
      </w:r>
    </w:p>
    <w:p>
      <w:pPr>
        <w:pStyle w:val="Heading3"/>
        <w:spacing w:after="100"/>
      </w:pPr>
      <w:r>
        <w:t xml:space="preserve">3.1 Varredura de Alcance</w:t>
      </w:r>
    </w:p>
    <w:p>
      <w:pPr>
        <w:spacing w:after="100"/>
      </w:pPr>
      <w:r>
        <w:t xml:space="preserve">A simulação varre o comprimento total do caminho Alice–Bob de 2 km até 200 km em passos de 2 km, assumindo links simétricos (cada braço = metade da distância total).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shd w:fill="D3D3D3" w:val="clear"/>
          </w:tcPr>
          <w:p>
            <w:r>
              <w:t xml:space="preserve">Distância Total (km)</w:t>
            </w:r>
          </w:p>
        </w:tc>
        <w:tc>
          <w:tcPr>
            <w:tcW w:type="dxa" w:w="2500"/>
            <w:shd w:fill="D3D3D3" w:val="clear"/>
          </w:tcPr>
          <w:p>
            <w:r>
              <w:t xml:space="preserve">QBER (%)</w:t>
            </w:r>
          </w:p>
        </w:tc>
        <w:tc>
          <w:tcPr>
            <w:tcW w:type="dxa" w:w="2500"/>
            <w:shd w:fill="D3D3D3" w:val="clear"/>
          </w:tcPr>
          <w:p>
            <w:r>
              <w:t xml:space="preserve">Taxa Secreta (bps)</w:t>
            </w:r>
          </w:p>
        </w:tc>
        <w:tc>
          <w:tcPr>
            <w:tcW w:type="dxa" w:w="2500"/>
            <w:shd w:fill="D3D3D3" w:val="clear"/>
          </w:tcPr>
          <w:p>
            <w:r>
              <w:t xml:space="preserve">Status</w:t>
            </w:r>
          </w:p>
        </w:tc>
      </w:tr>
      <w:tr>
        <w:tc>
          <w:tcPr>
            <w:tcW w:type="dxa" w:w="2000"/>
          </w:tcPr>
          <w:p>
            <w:r>
              <w:t xml:space="preserve">80</w:t>
            </w:r>
          </w:p>
        </w:tc>
        <w:tc>
          <w:tcPr>
            <w:tcW w:type="dxa" w:w="2500"/>
          </w:tcPr>
          <w:p>
            <w:r>
              <w:t xml:space="preserve">1,26%</w:t>
            </w:r>
          </w:p>
        </w:tc>
        <w:tc>
          <w:tcPr>
            <w:tcW w:type="dxa" w:w="2500"/>
          </w:tcPr>
          <w:p>
            <w:r>
              <w:t xml:space="preserve">3.496,81</w:t>
            </w:r>
          </w:p>
        </w:tc>
        <w:tc>
          <w:tcPr>
            <w:tcW w:type="dxa" w:w="2500"/>
          </w:tcPr>
          <w:p>
            <w:r>
              <w:t xml:space="preserve">Operacional</w:t>
            </w:r>
          </w:p>
        </w:tc>
      </w:tr>
      <w:tr>
        <w:tc>
          <w:tcPr>
            <w:tcW w:type="dxa" w:w="2000"/>
          </w:tcPr>
          <w:p>
            <w:r>
              <w:t xml:space="preserve">178</w:t>
            </w:r>
          </w:p>
        </w:tc>
        <w:tc>
          <w:tcPr>
            <w:tcW w:type="dxa" w:w="2500"/>
          </w:tcPr>
          <w:p>
            <w:r>
              <w:t xml:space="preserve">9,58%</w:t>
            </w:r>
          </w:p>
        </w:tc>
        <w:tc>
          <w:tcPr>
            <w:tcW w:type="dxa" w:w="2500"/>
          </w:tcPr>
          <w:p>
            <w:r>
              <w:t xml:space="preserve">2,70</w:t>
            </w:r>
          </w:p>
        </w:tc>
        <w:tc>
          <w:tcPr>
            <w:tcW w:type="dxa" w:w="2500"/>
          </w:tcPr>
          <w:p>
            <w:r>
              <w:t xml:space="preserve">Operacional</w:t>
            </w:r>
          </w:p>
        </w:tc>
      </w:tr>
      <w:tr>
        <w:tc>
          <w:tcPr>
            <w:tcW w:type="dxa" w:w="2000"/>
          </w:tcPr>
          <w:p>
            <w:r>
              <w:t xml:space="preserve">180</w:t>
            </w:r>
          </w:p>
        </w:tc>
        <w:tc>
          <w:tcPr>
            <w:tcW w:type="dxa" w:w="2500"/>
          </w:tcPr>
          <w:p>
            <w:r>
              <w:t xml:space="preserve">10,12%</w:t>
            </w:r>
          </w:p>
        </w:tc>
        <w:tc>
          <w:tcPr>
            <w:tcW w:type="dxa" w:w="2500"/>
          </w:tcPr>
          <w:p>
            <w:r>
              <w:t xml:space="preserve">Negativa</w:t>
            </w:r>
          </w:p>
        </w:tc>
        <w:tc>
          <w:tcPr>
            <w:tcW w:type="dxa" w:w="2500"/>
          </w:tcPr>
          <w:p>
            <w:r>
              <w:t xml:space="preserve">Inadmissível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No modelo simplificado adotado, com os parâmetros considerados e varredura de 2 km por distância total, o último ponto abaixo de 10% foi 178 km totais. No próximo passo (180 km), a QBER ultrapassa o limite operacional.</w:t>
      </w:r>
    </w:p>
    <w:p>
      <w:pPr>
        <w:pStyle w:val="Heading3"/>
        <w:spacing w:after="100"/>
      </w:pPr>
      <w:r>
        <w:t xml:space="preserve">3.2 Razão de Alcance MDI vs BB84</w:t>
      </w:r>
    </w:p>
    <w:p>
      <w:pPr>
        <w:spacing w:after="100"/>
      </w:pPr>
      <w:r>
        <w:t xml:space="preserve">Nesta simulação, a razão entre alcance MDI e BB84 é:</w:t>
      </w:r>
    </w:p>
    <w:p>
      <w:pPr>
        <w:pStyle w:val="Intense Quote"/>
        <w:spacing w:after="200"/>
      </w:pPr>
      <w:r>
        <w:t xml:space="preserve">Razão = 178 km (MDI) / 58 km (BB84) ≈ 3,07</w:t>
      </w:r>
    </w:p>
    <w:p>
      <w:pPr>
        <w:spacing w:after="200"/>
      </w:pPr>
      <w:r>
        <w:t xml:space="preserve">Este fator não é uma previsão universal. A razão real depende fortemente da atenuação, eficiência dos detectores, ruído e implementação específica dos decoy states. Diferentes parâmetros produzem razões diferentes.</w:t>
      </w:r>
    </w:p>
    <w:p>
      <w:pPr>
        <w:pStyle w:val="Heading3"/>
        <w:spacing w:after="100"/>
      </w:pPr>
      <w:r>
        <w:t xml:space="preserve">3.3 Origem do QBER Diferente em BB84 e MDI</w:t>
      </w:r>
    </w:p>
    <w:p>
      <w:pPr>
        <w:spacing w:after="200"/>
      </w:pPr>
      <w:r>
        <w:t xml:space="preserve">Nos nossos cálculos, a diferença entre QBER no BB84 (0,53% a curta distância) e MDI (0,60%) não resulta de uma imperfeição óptica adicional no MDI. Ambos usam o mesmo valor de P_opt. A diferença surge do termo de ruído relativo ao sinal na fórmula QBER adotada. No BB84, o ruído é normalizado de forma levemente diferente do MDI devido às estatísticas de detecção em arquiteturas distintas.</w:t>
      </w:r>
    </w:p>
    <w:p>
      <w:pPr>
        <w:pStyle w:val="Heading2"/>
        <w:spacing w:after="200"/>
      </w:pPr>
      <w:r>
        <w:t xml:space="preserve">4. Requisitos de Memória Quântica</w:t>
      </w:r>
    </w:p>
    <w:p>
      <w:pPr>
        <w:pStyle w:val="Heading3"/>
        <w:spacing w:after="100"/>
      </w:pPr>
      <w:r>
        <w:t xml:space="preserve">4.1 Tempo de Coerência Necessário</w:t>
      </w:r>
    </w:p>
    <w:p>
      <w:pPr>
        <w:spacing w:after="100"/>
      </w:pPr>
      <w:r>
        <w:t xml:space="preserve">Cada fóton, ao chegar ao Point intermediário, deve esperar pela chegada do fóton pareado do outro transmissor (Alice ou Bob). A memória precisa preservar o estado quântico durante esse período de espera, que é dominado por: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Diferença de latência entre os braços Alice e Bob (propagação em fibra)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Tempo de carregamento bem-sucedido da memória (escrita no armazenador)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Tempo de confirmação de evento (detecção e processamento)</w:t>
      </w:r>
    </w:p>
    <w:p>
      <w:pPr>
        <w:spacing w:after="200"/>
      </w:pPr>
      <w:r>
        <w:t xml:space="preserve">Para 178 km totais com links simétricos (89 km cada), a diferença máxima de propagação é negligenciável se ambos viajam à mesma velocidade. Porém, a espera pelo carregamento bem-sucedido do outro braço pode exigir tempos de coerência na faixa de microsegundos, dependendo da eficiência de captura.</w:t>
      </w:r>
    </w:p>
    <w:p>
      <w:pPr>
        <w:pStyle w:val="Heading2"/>
        <w:spacing w:after="200"/>
      </w:pPr>
      <w:r>
        <w:t xml:space="preserve">5. Conclusão</w:t>
      </w:r>
    </w:p>
    <w:p>
      <w:pPr>
        <w:spacing w:after="100"/>
      </w:pPr>
      <w:r>
        <w:t xml:space="preserve">O protocolo MDI-QKD simulado atinge operação até 178 km de distância total, oferecendo segurança independente do dispositivo de medição. A implementação de decoy states neste modelo é simplificada, mas identifica as grandezas críticas (Y₁₁, e₁₁) que uma implementação completa precisaria calcular.</w:t>
      </w:r>
    </w:p>
    <w:p>
      <w:pPr>
        <w:spacing w:after="100"/>
      </w:pPr>
      <w:r>
        <w:t xml:space="preserve">O aumento de alcance em relação ao BB84 reflete a robustez do protocolo frente a perdas, demonstrando a importância das medições de Bell na extensão de distâncias de distribuição quântica.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2026-09-20T20:07:36.878Z</dcterms:created>
  <dcterms:modified xsi:type="dcterms:W3CDTF">2026-09-20T20:07:36.879Z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