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5A30" w14:textId="76755CAA" w:rsidR="00DD05D8" w:rsidRPr="00667051" w:rsidRDefault="00000000">
      <w:pPr>
        <w:spacing w:after="220"/>
        <w:rPr>
          <w:rFonts w:ascii="Times New Roman" w:hAnsi="Times New Roman" w:cs="Times New Roman"/>
          <w:b/>
          <w:bCs/>
          <w:sz w:val="28"/>
          <w:szCs w:val="28"/>
        </w:rPr>
      </w:pPr>
      <w:r w:rsidRPr="00667051">
        <w:rPr>
          <w:rFonts w:ascii="Times New Roman" w:hAnsi="Times New Roman" w:cs="Times New Roman"/>
          <w:b/>
          <w:bCs/>
          <w:sz w:val="28"/>
          <w:szCs w:val="28"/>
        </w:rPr>
        <w:t xml:space="preserve">A4 -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667051">
        <w:rPr>
          <w:rFonts w:ascii="Times New Roman" w:hAnsi="Times New Roman" w:cs="Times New Roman"/>
          <w:b/>
          <w:bCs/>
          <w:sz w:val="28"/>
          <w:szCs w:val="28"/>
        </w:rPr>
        <w:t xml:space="preserve"> (Modality) via Conative Markers and Directional Alignment (clarification)</w:t>
      </w:r>
    </w:p>
    <w:p w14:paraId="62EBD1CE" w14:textId="77777777" w:rsidR="00DD05D8" w:rsidRPr="00667051" w:rsidRDefault="00000000">
      <w:pPr>
        <w:spacing w:after="220"/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Scope. This note clarifies the operationalization of the </w:t>
      </w:r>
      <m:oMath>
        <m:r>
          <w:rPr>
            <w:rFonts w:ascii="Cambria Math" w:hAnsi="Cambria Math" w:cs="Times New Roman"/>
          </w:rPr>
          <m:t>β</m:t>
        </m:r>
      </m:oMath>
      <w:r w:rsidRPr="00667051">
        <w:rPr>
          <w:rFonts w:ascii="Times New Roman" w:hAnsi="Times New Roman" w:cs="Times New Roman"/>
        </w:rPr>
        <w:t xml:space="preserve"> (modality) component without changing hypotheses </w:t>
      </w:r>
      <m:oMath>
        <m:r>
          <m:rPr>
            <m:sty m:val="p"/>
          </m:rPr>
          <w:rPr>
            <w:rFonts w:ascii="Cambria Math" w:hAnsi="Cambria Math" w:cs="Times New Roman"/>
          </w:rPr>
          <m:t>H1-H4</m:t>
        </m:r>
      </m:oMath>
      <w:r w:rsidRPr="00667051">
        <w:rPr>
          <w:rFonts w:ascii="Times New Roman" w:hAnsi="Times New Roman" w:cs="Times New Roman"/>
        </w:rPr>
        <w:t xml:space="preserve">, decision thresholds, or the fixed weights 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ε</m:t>
        </m:r>
      </m:oMath>
      <w:r w:rsidRPr="00667051">
        <w:rPr>
          <w:rFonts w:ascii="Times New Roman" w:hAnsi="Times New Roman" w:cs="Times New Roman"/>
        </w:rPr>
        <w:t xml:space="preserve"> specified in the preregistration. It is a predata clarification.</w:t>
      </w:r>
    </w:p>
    <w:p w14:paraId="0BDCBB08" w14:textId="77777777" w:rsidR="00DD05D8" w:rsidRPr="00667051" w:rsidRDefault="00000000">
      <w:pPr>
        <w:spacing w:after="220"/>
        <w:rPr>
          <w:rFonts w:ascii="Times New Roman" w:hAnsi="Times New Roman" w:cs="Times New Roman"/>
          <w:b/>
          <w:bCs/>
        </w:rPr>
      </w:pPr>
      <w:r w:rsidRPr="00667051">
        <w:rPr>
          <w:rFonts w:ascii="Times New Roman" w:hAnsi="Times New Roman" w:cs="Times New Roman"/>
          <w:b/>
          <w:bCs/>
        </w:rPr>
        <w:t>Definitions</w:t>
      </w:r>
    </w:p>
    <w:p w14:paraId="2DFFEAAA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For a document </w:t>
      </w:r>
      <m:oMath>
        <m:r>
          <w:rPr>
            <w:rFonts w:ascii="Cambria Math" w:hAnsi="Cambria Math" w:cs="Times New Roman"/>
          </w:rPr>
          <m:t>d</m:t>
        </m:r>
      </m:oMath>
      <w:r w:rsidRPr="00667051">
        <w:rPr>
          <w:rFonts w:ascii="Times New Roman" w:hAnsi="Times New Roman" w:cs="Times New Roman"/>
        </w:rPr>
        <w:t xml:space="preserve"> and a telos </w:t>
      </w:r>
      <m:oMath>
        <m:r>
          <w:rPr>
            <w:rFonts w:ascii="Cambria Math" w:hAnsi="Cambria Math" w:cs="Times New Roman"/>
          </w:rPr>
          <m:t>T</m:t>
        </m:r>
      </m:oMath>
      <w:r w:rsidRPr="00667051">
        <w:rPr>
          <w:rFonts w:ascii="Times New Roman" w:hAnsi="Times New Roman" w:cs="Times New Roman"/>
        </w:rPr>
        <w:t>.</w:t>
      </w:r>
    </w:p>
    <w:p w14:paraId="4DDA3D8B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Directional alignment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)∈[0,1]</m:t>
        </m:r>
      </m:oMath>
      <w:r w:rsidRPr="00667051">
        <w:rPr>
          <w:rFonts w:ascii="Times New Roman" w:hAnsi="Times New Roman" w:cs="Times New Roman"/>
        </w:rPr>
        <w:t xml:space="preserve"> derived from </w:t>
      </w:r>
      <m:oMath>
        <m:r>
          <w:rPr>
            <w:rFonts w:ascii="Cambria Math" w:hAnsi="Cambria Math" w:cs="Times New Roman"/>
          </w:rPr>
          <m:t>θ</m:t>
        </m:r>
      </m:oMath>
      <w:r w:rsidRPr="00667051">
        <w:rPr>
          <w:rFonts w:ascii="Times New Roman" w:hAnsi="Times New Roman" w:cs="Times New Roman"/>
        </w:rPr>
        <w:t xml:space="preserve"> (e.g.,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=(cos⁡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+1)/2</m:t>
        </m:r>
      </m:oMath>
      <w:r w:rsidRPr="00667051">
        <w:rPr>
          <w:rFonts w:ascii="Times New Roman" w:hAnsi="Times New Roman" w:cs="Times New Roman"/>
        </w:rPr>
        <w:t xml:space="preserve"> ), or any preregistered projection re-mapped to </w:t>
      </w:r>
      <m:oMath>
        <m:r>
          <m:rPr>
            <m:sty m:val="p"/>
          </m:rPr>
          <w:rPr>
            <w:rFonts w:ascii="Cambria Math" w:hAnsi="Cambria Math" w:cs="Times New Roman"/>
          </w:rPr>
          <m:t>[0,1]</m:t>
        </m:r>
      </m:oMath>
      <w:r w:rsidRPr="00667051">
        <w:rPr>
          <w:rFonts w:ascii="Times New Roman" w:hAnsi="Times New Roman" w:cs="Times New Roman"/>
        </w:rPr>
        <w:t>.</w:t>
      </w:r>
    </w:p>
    <w:p w14:paraId="4877E9C4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>Conative markers:</w:t>
      </w:r>
    </w:p>
    <w:p w14:paraId="3B4FF01A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push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)∈[0,1]</m:t>
        </m:r>
      </m:oMath>
      <w:r w:rsidRPr="00667051">
        <w:rPr>
          <w:rFonts w:ascii="Times New Roman" w:hAnsi="Times New Roman" w:cs="Times New Roman"/>
        </w:rPr>
        <w:t xml:space="preserve"> : modal/actional cues (e.g., devoir / must, falloir / need, accelerate, demand, it is time to...).</w:t>
      </w:r>
    </w:p>
    <w:p w14:paraId="04BADE81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inhibit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)∈[0,1]</m:t>
        </m:r>
      </m:oMath>
      <w:r w:rsidRPr="00667051">
        <w:rPr>
          <w:rFonts w:ascii="Times New Roman" w:hAnsi="Times New Roman" w:cs="Times New Roman"/>
        </w:rPr>
        <w:t xml:space="preserve"> : blocking/negation cues (e.g., block, prevent, oppose, refuse to, do not + VERB). Marker intensities come from a fixed lexicon (lemma/phrase weights [ 0,1 ]), negation rules, then p90 normalization and clipping to </w:t>
      </w:r>
      <m:oMath>
        <m:r>
          <m:rPr>
            <m:sty m:val="p"/>
          </m:rPr>
          <w:rPr>
            <w:rFonts w:ascii="Cambria Math" w:hAnsi="Cambria Math" w:cs="Times New Roman"/>
          </w:rPr>
          <m:t>[0,1]</m:t>
        </m:r>
      </m:oMath>
      <w:r w:rsidRPr="00667051">
        <w:rPr>
          <w:rFonts w:ascii="Times New Roman" w:hAnsi="Times New Roman" w:cs="Times New Roman"/>
        </w:rPr>
        <w:t>.</w:t>
      </w:r>
    </w:p>
    <w:p w14:paraId="0FF6B22A" w14:textId="77777777" w:rsidR="00DD05D8" w:rsidRPr="0066705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Cross-term coefficient </w:t>
      </w:r>
      <m:oMath>
        <m:r>
          <w:rPr>
            <w:rFonts w:ascii="Cambria Math" w:hAnsi="Cambria Math" w:cs="Times New Roman"/>
          </w:rPr>
          <m:t>λ</m:t>
        </m:r>
      </m:oMath>
      <w:r w:rsidRPr="00667051">
        <w:rPr>
          <w:rFonts w:ascii="Times New Roman" w:hAnsi="Times New Roman" w:cs="Times New Roman"/>
        </w:rPr>
        <w:t xml:space="preserve"> is fixed a priori to 0.5 (theoretical compromise between instrumental vs. substantive readings).</w:t>
      </w:r>
    </w:p>
    <w:p w14:paraId="061DAAB0" w14:textId="0B26A459" w:rsidR="00DD05D8" w:rsidRPr="00667051" w:rsidRDefault="00000000">
      <w:pPr>
        <w:spacing w:after="220"/>
        <w:rPr>
          <w:rFonts w:ascii="Times New Roman" w:hAnsi="Times New Roman" w:cs="Times New Roman"/>
          <w:b/>
          <w:bCs/>
        </w:rPr>
      </w:pPr>
      <w:r w:rsidRPr="00667051">
        <w:rPr>
          <w:rFonts w:ascii="Times New Roman" w:hAnsi="Times New Roman" w:cs="Times New Roman"/>
          <w:b/>
          <w:bCs/>
        </w:rPr>
        <w:t xml:space="preserve">Construction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</w:p>
    <w:p w14:paraId="3B29C29B" w14:textId="77777777" w:rsidR="00DD05D8" w:rsidRPr="00667051" w:rsidRDefault="00000000">
      <w:pPr>
        <w:spacing w:after="220"/>
        <w:rPr>
          <w:rFonts w:ascii="Times New Roman" w:hAnsi="Times New Roman" w:cs="Times New Roman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)+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)⋅(1-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)+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)⋅(1-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)),</m:t>
                </m:r>
              </m:e>
            </m:mr>
          </m:m>
        </m:oMath>
      </m:oMathPara>
    </w:p>
    <w:p w14:paraId="4C1B95A4" w14:textId="77777777" w:rsidR="00DD05D8" w:rsidRPr="00667051" w:rsidRDefault="00000000">
      <w:pPr>
        <w:spacing w:after="220"/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λ</m:t>
        </m:r>
        <m:r>
          <m:rPr>
            <m:sty m:val="p"/>
          </m:rPr>
          <w:rPr>
            <w:rFonts w:ascii="Cambria Math" w:hAnsi="Cambria Math" w:cs="Times New Roman"/>
          </w:rPr>
          <m:t>=0.5</m:t>
        </m:r>
      </m:oMath>
      <w:r w:rsidRPr="00667051">
        <w:rPr>
          <w:rFonts w:ascii="Times New Roman" w:hAnsi="Times New Roman" w:cs="Times New Roman"/>
        </w:rPr>
        <w:t xml:space="preserve">. By construction,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∈[0,1]</m:t>
        </m:r>
      </m:oMath>
      <w:r w:rsidRPr="00667051">
        <w:rPr>
          <w:rFonts w:ascii="Times New Roman" w:hAnsi="Times New Roman" w:cs="Times New Roman"/>
        </w:rPr>
        <w:t>.</w:t>
      </w:r>
      <w:r w:rsidRPr="00667051">
        <w:rPr>
          <w:rFonts w:ascii="Times New Roman" w:hAnsi="Times New Roman" w:cs="Times New Roman"/>
        </w:rPr>
        <w:br/>
        <w:t>Invariants</w:t>
      </w:r>
    </w:p>
    <w:p w14:paraId="59488C8B" w14:textId="77777777" w:rsidR="00DD05D8" w:rsidRPr="00667051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Bounds: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∈[0,1]</m:t>
        </m:r>
      </m:oMath>
      <w:r w:rsidRPr="00667051">
        <w:rPr>
          <w:rFonts w:ascii="Times New Roman" w:hAnsi="Times New Roman" w:cs="Times New Roman"/>
        </w:rPr>
        <w:t>.</w:t>
      </w:r>
    </w:p>
    <w:p w14:paraId="4F4493C7" w14:textId="77777777" w:rsidR="00DD05D8" w:rsidRPr="00667051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Neutrality: if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67051"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67051">
        <w:rPr>
          <w:rFonts w:ascii="Times New Roman" w:hAnsi="Times New Roman" w:cs="Times New Roman"/>
        </w:rPr>
        <w:t>.</w:t>
      </w:r>
    </w:p>
    <w:p w14:paraId="14E6069F" w14:textId="77777777" w:rsidR="00DD05D8" w:rsidRPr="00667051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Monotonicity: for fixed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667051">
        <w:rPr>
          <w:rFonts w:ascii="Times New Roman" w:hAnsi="Times New Roman" w:cs="Times New Roman"/>
        </w:rPr>
        <w:t xml:space="preserve"> increases with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67051">
        <w:rPr>
          <w:rFonts w:ascii="Times New Roman" w:hAnsi="Times New Roman" w:cs="Times New Roman"/>
        </w:rPr>
        <w:t xml:space="preserve"> decreases with </w:t>
      </w:r>
      <m:oMath>
        <m:r>
          <w:rPr>
            <w:rFonts w:ascii="Cambria Math" w:hAnsi="Cambria Math" w:cs="Times New Roman"/>
          </w:rPr>
          <m:t>a</m:t>
        </m:r>
      </m:oMath>
      <w:r w:rsidRPr="00667051">
        <w:rPr>
          <w:rFonts w:ascii="Times New Roman" w:hAnsi="Times New Roman" w:cs="Times New Roman"/>
        </w:rPr>
        <w:t>.</w:t>
      </w:r>
    </w:p>
    <w:p w14:paraId="5798C69F" w14:textId="77777777" w:rsidR="00DD05D8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7051">
        <w:rPr>
          <w:rFonts w:ascii="Times New Roman" w:hAnsi="Times New Roman" w:cs="Times New Roman"/>
        </w:rPr>
        <w:t xml:space="preserve">Anti-telos behavior: if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≈0</m:t>
        </m:r>
      </m:oMath>
      <w:r w:rsidRPr="0066705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Pr="00667051">
        <w:rPr>
          <w:rFonts w:ascii="Times New Roman" w:hAnsi="Times New Roman" w:cs="Times New Roman"/>
        </w:rPr>
        <w:t xml:space="preserve">, push contributes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67051">
        <w:rPr>
          <w:rFonts w:ascii="Times New Roman" w:hAnsi="Times New Roman" w:cs="Times New Roman"/>
        </w:rPr>
        <w:t xml:space="preserve"> (pushing against </w:t>
      </w:r>
      <m:oMath>
        <m:r>
          <w:rPr>
            <w:rFonts w:ascii="Cambria Math" w:hAnsi="Cambria Math" w:cs="Times New Roman"/>
          </w:rPr>
          <m:t>T</m:t>
        </m:r>
      </m:oMath>
      <w:r w:rsidRPr="00667051">
        <w:rPr>
          <w:rFonts w:ascii="Times New Roman" w:hAnsi="Times New Roman" w:cs="Times New Roman"/>
        </w:rPr>
        <w:t xml:space="preserve"> ); if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≈1</m:t>
        </m:r>
      </m:oMath>
      <w:r w:rsidRPr="0066705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Pr="00667051">
        <w:rPr>
          <w:rFonts w:ascii="Times New Roman" w:hAnsi="Times New Roman" w:cs="Times New Roman"/>
        </w:rPr>
        <w:t xml:space="preserve">, inhibition contributes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67051">
        <w:rPr>
          <w:rFonts w:ascii="Times New Roman" w:hAnsi="Times New Roman" w:cs="Times New Roman"/>
        </w:rPr>
        <w:t xml:space="preserve"> (blocking within the telos direction).</w:t>
      </w:r>
    </w:p>
    <w:p w14:paraId="1DBFDB36" w14:textId="77777777" w:rsidR="00667051" w:rsidRDefault="00667051" w:rsidP="00667051">
      <w:pPr>
        <w:rPr>
          <w:rFonts w:ascii="Times New Roman" w:hAnsi="Times New Roman" w:cs="Times New Roman"/>
        </w:rPr>
      </w:pPr>
    </w:p>
    <w:p w14:paraId="27892BEB" w14:textId="4B2E6BCF" w:rsidR="00667051" w:rsidRPr="00667051" w:rsidRDefault="00667051" w:rsidP="00667051">
      <w:pPr>
        <w:spacing w:after="220"/>
        <w:rPr>
          <w:rFonts w:ascii="Times New Roman" w:eastAsiaTheme="minorEastAsia" w:hAnsi="Times New Roman" w:cs="Times New Roman"/>
          <w:b/>
          <w:bCs/>
        </w:rPr>
      </w:pPr>
      <w:r w:rsidRPr="00667051">
        <w:rPr>
          <w:rFonts w:ascii="Times New Roman" w:hAnsi="Times New Roman" w:cs="Times New Roman"/>
          <w:b/>
          <w:bCs/>
        </w:rPr>
        <w:t xml:space="preserve">Modality scalar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bCs/>
              </w:rPr>
              <m:t>tel </m:t>
            </m:r>
          </m:sub>
        </m:sSub>
      </m:oMath>
    </w:p>
    <w:p w14:paraId="4FBE385A" w14:textId="5795C3E6" w:rsidR="00667051" w:rsidRPr="00667051" w:rsidRDefault="00667051" w:rsidP="00667051">
      <w:pPr>
        <w:spacing w:after="220"/>
        <w:rPr>
          <w:rFonts w:ascii="Times New Roman" w:eastAsiaTheme="minorEastAsia" w:hAnsi="Times New Roman" w:cs="Times New Roman"/>
        </w:rPr>
      </w:pPr>
      <w:r w:rsidRPr="00FF590F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β</m:t>
        </m:r>
      </m:oMath>
      <w:r w:rsidRPr="00FF590F">
        <w:rPr>
          <w:rFonts w:ascii="Times New Roman" w:hAnsi="Times New Roman" w:cs="Times New Roman"/>
        </w:rPr>
        <w:t xml:space="preserve"> component used in the weighted norm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</w:rPr>
              <m:t>tel </m:t>
            </m:r>
          </m:sub>
        </m:sSub>
      </m:oMath>
      <w:r w:rsidRPr="00FF590F">
        <w:rPr>
          <w:rFonts w:ascii="Times New Roman" w:hAnsi="Times New Roman" w:cs="Times New Roman"/>
        </w:rPr>
        <w:t xml:space="preserve"> is a scalar derived from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F590F">
        <w:rPr>
          <w:rFonts w:ascii="Times New Roman" w:hAnsi="Times New Roman" w:cs="Times New Roman"/>
        </w:rPr>
        <w:t xml:space="preserve"> :</w:t>
      </w:r>
    </w:p>
    <w:p w14:paraId="4F84B98C" w14:textId="77777777" w:rsidR="00667051" w:rsidRPr="00FF590F" w:rsidRDefault="00667051" w:rsidP="00667051">
      <w:pPr>
        <w:spacing w:after="2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)-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)∈[-1,1], </m:t>
          </m:r>
          <m:r>
            <w:rPr>
              <w:rFonts w:ascii="Cambria Math" w:hAnsi="Cambria Math" w:cs="Times New Roman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∈[0,1]</m:t>
          </m:r>
        </m:oMath>
      </m:oMathPara>
    </w:p>
    <w:p w14:paraId="7559E932" w14:textId="77777777" w:rsidR="00667051" w:rsidRDefault="00667051" w:rsidP="00667051">
      <w:pPr>
        <w:spacing w:after="220"/>
        <w:rPr>
          <w:rFonts w:ascii="Times New Roman" w:hAnsi="Times New Roman" w:cs="Times New Roman"/>
        </w:rPr>
      </w:pPr>
      <w:r w:rsidRPr="00FF590F">
        <w:rPr>
          <w:rFonts w:ascii="Times New Roman" w:hAnsi="Times New Roman" w:cs="Times New Roman"/>
        </w:rPr>
        <w:t xml:space="preserve">Other channels and weights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γ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ε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FF590F">
        <w:rPr>
          <w:rFonts w:ascii="Times New Roman" w:hAnsi="Times New Roman" w:cs="Times New Roman"/>
        </w:rPr>
        <w:t xml:space="preserve"> remain unchanged and fixed a priori as preregistered.</w:t>
      </w:r>
    </w:p>
    <w:p w14:paraId="031CEDB4" w14:textId="77777777" w:rsidR="00667051" w:rsidRDefault="00667051" w:rsidP="00667051">
      <w:pPr>
        <w:spacing w:after="220"/>
        <w:rPr>
          <w:rFonts w:ascii="Times New Roman" w:hAnsi="Times New Roman" w:cs="Times New Roman"/>
        </w:rPr>
      </w:pPr>
    </w:p>
    <w:p w14:paraId="782D6156" w14:textId="77777777" w:rsidR="00667051" w:rsidRPr="00667051" w:rsidRDefault="00667051" w:rsidP="00667051">
      <w:pPr>
        <w:spacing w:after="220"/>
        <w:rPr>
          <w:rFonts w:ascii="Times New Roman" w:hAnsi="Times New Roman" w:cs="Times New Roman"/>
          <w:b/>
          <w:bCs/>
        </w:rPr>
      </w:pPr>
      <w:r w:rsidRPr="00667051">
        <w:rPr>
          <w:rFonts w:ascii="Times New Roman" w:hAnsi="Times New Roman" w:cs="Times New Roman"/>
          <w:b/>
          <w:bCs/>
        </w:rPr>
        <w:t>Compliance note</w:t>
      </w:r>
    </w:p>
    <w:p w14:paraId="31CF1C6F" w14:textId="56A44D11" w:rsidR="00667051" w:rsidRPr="00FF590F" w:rsidRDefault="00667051" w:rsidP="00667051">
      <w:pPr>
        <w:spacing w:after="220"/>
        <w:rPr>
          <w:rFonts w:ascii="Times New Roman" w:hAnsi="Times New Roman" w:cs="Times New Roman"/>
        </w:rPr>
      </w:pPr>
      <w:r w:rsidRPr="00FF590F">
        <w:rPr>
          <w:rFonts w:ascii="Times New Roman" w:hAnsi="Times New Roman" w:cs="Times New Roman"/>
        </w:rPr>
        <w:t xml:space="preserve">This clarification does not modify any confirmatory tests ( </w:t>
      </w:r>
      <m:oMath>
        <m:r>
          <m:rPr>
            <m:sty m:val="p"/>
          </m:rPr>
          <w:rPr>
            <w:rFonts w:ascii="Cambria Math" w:hAnsi="Cambria Math" w:cs="Times New Roman"/>
          </w:rPr>
          <m:t>H1-H4</m:t>
        </m:r>
      </m:oMath>
      <w:r w:rsidRPr="00FF590F">
        <w:rPr>
          <w:rFonts w:ascii="Times New Roman" w:hAnsi="Times New Roman" w:cs="Times New Roman"/>
        </w:rPr>
        <w:t xml:space="preserve"> ), thresholds ( </w:t>
      </w:r>
      <m:oMath>
        <m:r>
          <m:rPr>
            <m:sty m:val="p"/>
          </m:rPr>
          <w:rPr>
            <w:rFonts w:ascii="Cambria Math" w:hAnsi="Cambria Math" w:cs="Times New Roman"/>
          </w:rPr>
          <m:t>ΔAUC,Δ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FF590F">
        <w:rPr>
          <w:rFonts w:ascii="Times New Roman" w:hAnsi="Times New Roman" w:cs="Times New Roman"/>
        </w:rPr>
        <w:t xml:space="preserve">, FDR, etc.), or the fixed weights 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ε</m:t>
        </m:r>
      </m:oMath>
      <w:r w:rsidRPr="00FF590F">
        <w:rPr>
          <w:rFonts w:ascii="Times New Roman" w:hAnsi="Times New Roman" w:cs="Times New Roman"/>
        </w:rPr>
        <w:t xml:space="preserve">. It only specifies how </w:t>
      </w:r>
      <m:oMath>
        <m:r>
          <w:rPr>
            <w:rFonts w:ascii="Cambria Math" w:hAnsi="Cambria Math" w:cs="Times New Roman"/>
          </w:rPr>
          <m:t>β</m:t>
        </m:r>
      </m:oMath>
      <w:r w:rsidRPr="00FF590F">
        <w:rPr>
          <w:rFonts w:ascii="Times New Roman" w:hAnsi="Times New Roman" w:cs="Times New Roman"/>
        </w:rPr>
        <w:t xml:space="preserve"> is computed from already defined quantities (conation + alignment), with </w:t>
      </w:r>
      <m:oMath>
        <m:r>
          <w:rPr>
            <w:rFonts w:ascii="Cambria Math" w:hAnsi="Cambria Math" w:cs="Times New Roman"/>
          </w:rPr>
          <m:t>λ</m:t>
        </m:r>
        <m:r>
          <m:rPr>
            <m:sty m:val="p"/>
          </m:rPr>
          <w:rPr>
            <w:rFonts w:ascii="Cambria Math" w:hAnsi="Cambria Math" w:cs="Times New Roman"/>
          </w:rPr>
          <m:t>=0.5</m:t>
        </m:r>
      </m:oMath>
      <w:r w:rsidRPr="00FF590F">
        <w:rPr>
          <w:rFonts w:ascii="Times New Roman" w:hAnsi="Times New Roman" w:cs="Times New Roman"/>
        </w:rPr>
        <w:t xml:space="preserve"> fixed a priori.</w:t>
      </w:r>
    </w:p>
    <w:p w14:paraId="18054D63" w14:textId="77777777" w:rsidR="00667051" w:rsidRDefault="00667051" w:rsidP="00667051">
      <w:pPr>
        <w:spacing w:after="220"/>
        <w:rPr>
          <w:rFonts w:ascii="Times New Roman" w:hAnsi="Times New Roman" w:cs="Times New Roman"/>
        </w:rPr>
      </w:pPr>
      <w:r w:rsidRPr="00FF590F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2025</w:t>
      </w:r>
      <w:r w:rsidRPr="00FF59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 w:rsidRPr="00FF59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03</w:t>
      </w:r>
    </w:p>
    <w:p w14:paraId="370E0B35" w14:textId="4192D7AC" w:rsidR="00667051" w:rsidRPr="00667051" w:rsidRDefault="00667051" w:rsidP="00667051">
      <w:pPr>
        <w:spacing w:after="220"/>
      </w:pPr>
      <w:r w:rsidRPr="00FF590F">
        <w:rPr>
          <w:rFonts w:ascii="Times New Roman" w:eastAsia="Georgia" w:hAnsi="Times New Roman" w:cs="Times New Roman"/>
        </w:rPr>
        <w:t>Links: OSF preregistration (reference) • Git tag prereg-clarif-v1.1</w:t>
      </w:r>
    </w:p>
    <w:sectPr w:rsidR="00667051" w:rsidRPr="00667051" w:rsidSect="00667051">
      <w:pgSz w:w="12240" w:h="15840"/>
      <w:pgMar w:top="851" w:right="758" w:bottom="426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46153"/>
    <w:multiLevelType w:val="hybridMultilevel"/>
    <w:tmpl w:val="CF16FCE6"/>
    <w:lvl w:ilvl="0" w:tplc="C696E70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72C27AE">
      <w:numFmt w:val="decimal"/>
      <w:lvlText w:val=""/>
      <w:lvlJc w:val="left"/>
    </w:lvl>
    <w:lvl w:ilvl="2" w:tplc="88688BF0">
      <w:numFmt w:val="decimal"/>
      <w:lvlText w:val=""/>
      <w:lvlJc w:val="left"/>
    </w:lvl>
    <w:lvl w:ilvl="3" w:tplc="1F22BE6A">
      <w:numFmt w:val="decimal"/>
      <w:lvlText w:val=""/>
      <w:lvlJc w:val="left"/>
    </w:lvl>
    <w:lvl w:ilvl="4" w:tplc="85CEC118">
      <w:numFmt w:val="decimal"/>
      <w:lvlText w:val=""/>
      <w:lvlJc w:val="left"/>
    </w:lvl>
    <w:lvl w:ilvl="5" w:tplc="600C2282">
      <w:numFmt w:val="decimal"/>
      <w:lvlText w:val=""/>
      <w:lvlJc w:val="left"/>
    </w:lvl>
    <w:lvl w:ilvl="6" w:tplc="518010DE">
      <w:numFmt w:val="decimal"/>
      <w:lvlText w:val=""/>
      <w:lvlJc w:val="left"/>
    </w:lvl>
    <w:lvl w:ilvl="7" w:tplc="6B54F9DA">
      <w:numFmt w:val="decimal"/>
      <w:lvlText w:val=""/>
      <w:lvlJc w:val="left"/>
    </w:lvl>
    <w:lvl w:ilvl="8" w:tplc="BC20AA2A">
      <w:numFmt w:val="decimal"/>
      <w:lvlText w:val=""/>
      <w:lvlJc w:val="left"/>
    </w:lvl>
  </w:abstractNum>
  <w:abstractNum w:abstractNumId="1" w15:restartNumberingAfterBreak="0">
    <w:nsid w:val="7E474AB0"/>
    <w:multiLevelType w:val="hybridMultilevel"/>
    <w:tmpl w:val="1204735C"/>
    <w:lvl w:ilvl="0" w:tplc="0336AA8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BA389190">
      <w:numFmt w:val="decimal"/>
      <w:lvlText w:val=""/>
      <w:lvlJc w:val="left"/>
    </w:lvl>
    <w:lvl w:ilvl="2" w:tplc="B3C66B42">
      <w:numFmt w:val="decimal"/>
      <w:lvlText w:val=""/>
      <w:lvlJc w:val="left"/>
    </w:lvl>
    <w:lvl w:ilvl="3" w:tplc="5A640F38">
      <w:numFmt w:val="decimal"/>
      <w:lvlText w:val=""/>
      <w:lvlJc w:val="left"/>
    </w:lvl>
    <w:lvl w:ilvl="4" w:tplc="5C467118">
      <w:numFmt w:val="decimal"/>
      <w:lvlText w:val=""/>
      <w:lvlJc w:val="left"/>
    </w:lvl>
    <w:lvl w:ilvl="5" w:tplc="0AA48BC8">
      <w:numFmt w:val="decimal"/>
      <w:lvlText w:val=""/>
      <w:lvlJc w:val="left"/>
    </w:lvl>
    <w:lvl w:ilvl="6" w:tplc="F0F0A8FE">
      <w:numFmt w:val="decimal"/>
      <w:lvlText w:val=""/>
      <w:lvlJc w:val="left"/>
    </w:lvl>
    <w:lvl w:ilvl="7" w:tplc="84288930">
      <w:numFmt w:val="decimal"/>
      <w:lvlText w:val=""/>
      <w:lvlJc w:val="left"/>
    </w:lvl>
    <w:lvl w:ilvl="8" w:tplc="74929E34">
      <w:numFmt w:val="decimal"/>
      <w:lvlText w:val=""/>
      <w:lvlJc w:val="left"/>
    </w:lvl>
  </w:abstractNum>
  <w:num w:numId="1" w16cid:durableId="2130664766">
    <w:abstractNumId w:val="1"/>
  </w:num>
  <w:num w:numId="2" w16cid:durableId="190193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D8"/>
    <w:rsid w:val="00667051"/>
    <w:rsid w:val="00DD05D8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FE1C"/>
  <w15:docId w15:val="{F589A142-E32D-4A65-B62A-D65D6D9F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Paragraphedeliste">
    <w:name w:val="List Paragraph"/>
    <w:basedOn w:val="Normal"/>
    <w:uiPriority w:val="34"/>
    <w:qFormat/>
    <w:rsid w:val="0066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Olivier JAHIER</cp:lastModifiedBy>
  <cp:revision>2</cp:revision>
  <dcterms:created xsi:type="dcterms:W3CDTF">2025-10-03T16:08:00Z</dcterms:created>
  <dcterms:modified xsi:type="dcterms:W3CDTF">2025-10-03T16:08:00Z</dcterms:modified>
</cp:coreProperties>
</file>