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l8etd4ibdiqi" w:id="0"/>
      <w:bookmarkEnd w:id="0"/>
      <w:r w:rsidDel="00000000" w:rsidR="00000000" w:rsidRPr="00000000">
        <w:rPr>
          <w:b w:val="1"/>
          <w:bCs w:val="1"/>
          <w:rtl w:val="0"/>
        </w:rPr>
        <w:t xml:space="preserve">Proyecto de Diseño e Implementación de Red Corporativa Multisede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ind w:right="600"/>
        <w:jc w:val="both"/>
        <w:rPr/>
      </w:pPr>
      <w:bookmarkStart w:colFirst="0" w:colLast="0" w:name="_o14n6dv12b7b" w:id="1"/>
      <w:bookmarkEnd w:id="1"/>
      <w:r w:rsidDel="00000000" w:rsidR="00000000" w:rsidRPr="00000000">
        <w:rPr>
          <w:rtl w:val="0"/>
        </w:rPr>
        <w:t xml:space="preserve">Laboratorio realizado en Cisco Packet Tracer (CCNA)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Autor: Alan Tobias Stelmaczonek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Herramienta: Cisco Packet Tracer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Fecha: (1-02-2026)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El objetivo de este proyecto es diseñar e implementar una red corporativa multisede que permita la comunicación entre una oficina central (HQ) y un centro de distribución (DC), garantizando conectividad, segmentación de red, escalabilidad y respaldo de configuraciones, utilizando tecnologías IPv4 e IPv6.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q876qfq6gx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del escenario de red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empresa cuenta con una </w:t>
      </w:r>
      <w:r w:rsidDel="00000000" w:rsidR="00000000" w:rsidRPr="00000000">
        <w:rPr>
          <w:b w:val="1"/>
          <w:bCs w:val="1"/>
          <w:rtl w:val="0"/>
        </w:rPr>
        <w:t xml:space="preserve">infraestructura de red corporativa multisede</w:t>
      </w:r>
      <w:r w:rsidDel="00000000" w:rsidR="00000000" w:rsidRPr="00000000">
        <w:rPr>
          <w:rtl w:val="0"/>
        </w:rPr>
        <w:t xml:space="preserve">, compuesta por una </w:t>
      </w:r>
      <w:r w:rsidDel="00000000" w:rsidR="00000000" w:rsidRPr="00000000">
        <w:rPr>
          <w:b w:val="1"/>
          <w:bCs w:val="1"/>
          <w:rtl w:val="0"/>
        </w:rPr>
        <w:t xml:space="preserve">Oficina Central (Headquarters – HQ)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b w:val="1"/>
          <w:bCs w:val="1"/>
          <w:rtl w:val="0"/>
        </w:rPr>
        <w:t xml:space="preserve">Centro de Distribución (Distribution Center – DC)</w:t>
      </w:r>
      <w:r w:rsidDel="00000000" w:rsidR="00000000" w:rsidRPr="00000000">
        <w:rPr>
          <w:rtl w:val="0"/>
        </w:rPr>
        <w:t xml:space="preserve">, conectados entre sí mediante un </w:t>
      </w:r>
      <w:r w:rsidDel="00000000" w:rsidR="00000000" w:rsidRPr="00000000">
        <w:rPr>
          <w:b w:val="1"/>
          <w:bCs w:val="1"/>
          <w:rtl w:val="0"/>
        </w:rPr>
        <w:t xml:space="preserve">enlace WAN punto a punto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ztaw5t8mfn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Oficina Central (HQ)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sede central concentra las áreas administrativas, operativas y de infraestructura crítica. Está conformada por las siguientes redes LAN: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CORP-USERS</w:t>
      </w:r>
      <w:r w:rsidDel="00000000" w:rsidR="00000000" w:rsidRPr="00000000">
        <w:rPr>
          <w:rtl w:val="0"/>
        </w:rPr>
        <w:t xml:space="preserve">: red destinada a los usuarios de la oficina central, incluyendo estaciones de trabajo y dispositivos portátiles.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HQ-OPS</w:t>
      </w:r>
      <w:r w:rsidDel="00000000" w:rsidR="00000000" w:rsidRPr="00000000">
        <w:rPr>
          <w:rtl w:val="0"/>
        </w:rPr>
        <w:t xml:space="preserve">: red de operaciones y backoffice, que incluye PCs de uso interno, impresoras de red y telefonía IP.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HQ-SERVERS</w:t>
      </w:r>
      <w:r w:rsidDel="00000000" w:rsidR="00000000" w:rsidRPr="00000000">
        <w:rPr>
          <w:rtl w:val="0"/>
        </w:rPr>
        <w:t xml:space="preserve">: red de infraestructura que aloja servidores corporativos, entre ellos un servidor de servicios (TFTP) utilizado para el respaldo de configuraciones de los dispositivos de red.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red LAN se conecta a un switch de acceso, el cual a su vez se enlaza al router de la sede HQ, que actúa como </w:t>
      </w:r>
      <w:r w:rsidDel="00000000" w:rsidR="00000000" w:rsidRPr="00000000">
        <w:rPr>
          <w:b w:val="1"/>
          <w:bCs w:val="1"/>
          <w:rtl w:val="0"/>
        </w:rPr>
        <w:t xml:space="preserve">gateway predeterminado</w:t>
      </w:r>
      <w:r w:rsidDel="00000000" w:rsidR="00000000" w:rsidRPr="00000000">
        <w:rPr>
          <w:rtl w:val="0"/>
        </w:rPr>
        <w:t xml:space="preserve"> para todas las subredes locales.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pr5lunuju3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Centro de Distribución (DC)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Centro de Distribución aloja las áreas operativas vinculadas a logística, atención al cliente y soporte técnico. Está compuesto por las siguientes redes LAN: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DC-LOGISTICS</w:t>
      </w:r>
      <w:r w:rsidDel="00000000" w:rsidR="00000000" w:rsidRPr="00000000">
        <w:rPr>
          <w:rtl w:val="0"/>
        </w:rPr>
        <w:t xml:space="preserve">: red del centro logístico, con estaciones de trabajo y dispositivos portátiles utilizados para la gestión operativa.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DC-CALLCENTER</w:t>
      </w:r>
      <w:r w:rsidDel="00000000" w:rsidR="00000000" w:rsidRPr="00000000">
        <w:rPr>
          <w:rtl w:val="0"/>
        </w:rPr>
        <w:t xml:space="preserve">: red dedicada al área de atención al cliente, con múltiples puestos de trabajo y dispositivos asociados.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DC-IT-LAB</w:t>
      </w:r>
      <w:r w:rsidDel="00000000" w:rsidR="00000000" w:rsidRPr="00000000">
        <w:rPr>
          <w:rtl w:val="0"/>
        </w:rPr>
        <w:t xml:space="preserve">: red del laboratorio de soporte IT, que incluye equipos de prueba, servidores locales y dispositivos de administración.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Estas redes se conectan a través de switches de acceso al router del DC, que funciona como gateway para las subredes de esta sede.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Conectividad WAN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Ambas sedes están interconectadas mediante una </w:t>
      </w:r>
      <w:r w:rsidDel="00000000" w:rsidR="00000000" w:rsidRPr="00000000">
        <w:rPr>
          <w:b w:val="1"/>
          <w:bCs w:val="1"/>
          <w:rtl w:val="0"/>
        </w:rPr>
        <w:t xml:space="preserve">red WAN dedicada (WAN-HQ-DC)</w:t>
      </w:r>
      <w:r w:rsidDel="00000000" w:rsidR="00000000" w:rsidRPr="00000000">
        <w:rPr>
          <w:rtl w:val="0"/>
        </w:rPr>
        <w:t xml:space="preserve">, implementada como un enlace serial punto a punto entre los routers de HQ y DC.</w:t>
        <w:br w:type="textWrapping"/>
        <w:t xml:space="preserve"> Este enlace permite la </w:t>
      </w:r>
      <w:r w:rsidDel="00000000" w:rsidR="00000000" w:rsidRPr="00000000">
        <w:rPr>
          <w:b w:val="1"/>
          <w:bCs w:val="1"/>
          <w:rtl w:val="0"/>
        </w:rPr>
        <w:t xml:space="preserve">comunicación total entre todas las subredes de la organización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b w:val="1"/>
          <w:bCs w:val="1"/>
          <w:rtl w:val="0"/>
        </w:rPr>
        <w:t xml:space="preserve">enrutamiento estático para IPv4</w:t>
      </w:r>
      <w:r w:rsidDel="00000000" w:rsidR="00000000" w:rsidRPr="00000000">
        <w:rPr>
          <w:rtl w:val="0"/>
        </w:rPr>
        <w:t xml:space="preserve"> y direccionamiento IPv6 complementario.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Direccionamiento y protocolos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utiliza </w:t>
      </w:r>
      <w:r w:rsidDel="00000000" w:rsidR="00000000" w:rsidRPr="00000000">
        <w:rPr>
          <w:b w:val="1"/>
          <w:bCs w:val="1"/>
          <w:rtl w:val="0"/>
        </w:rPr>
        <w:t xml:space="preserve">direccionamiento IPv4 con VLSM</w:t>
      </w:r>
      <w:r w:rsidDel="00000000" w:rsidR="00000000" w:rsidRPr="00000000">
        <w:rPr>
          <w:rtl w:val="0"/>
        </w:rPr>
        <w:t xml:space="preserve">, optimizando el uso del bloque asignado según la cantidad de hosts por área.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implementa </w:t>
      </w:r>
      <w:r w:rsidDel="00000000" w:rsidR="00000000" w:rsidRPr="00000000">
        <w:rPr>
          <w:b w:val="1"/>
          <w:bCs w:val="1"/>
          <w:rtl w:val="0"/>
        </w:rPr>
        <w:t xml:space="preserve">direccionamiento IPv6 con prefijos /64</w:t>
      </w:r>
      <w:r w:rsidDel="00000000" w:rsidR="00000000" w:rsidRPr="00000000">
        <w:rPr>
          <w:rtl w:val="0"/>
        </w:rPr>
        <w:t xml:space="preserve">, asignados de forma consistente a cada red LAN.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enrutamiento entre redes se realiza mediante </w:t>
      </w:r>
      <w:r w:rsidDel="00000000" w:rsidR="00000000" w:rsidRPr="00000000">
        <w:rPr>
          <w:b w:val="1"/>
          <w:bCs w:val="1"/>
          <w:rtl w:val="0"/>
        </w:rPr>
        <w:t xml:space="preserve">rutas estáticas</w:t>
      </w:r>
      <w:r w:rsidDel="00000000" w:rsidR="00000000" w:rsidRPr="00000000">
        <w:rPr>
          <w:rtl w:val="0"/>
        </w:rPr>
        <w:t xml:space="preserve">, garantizando control y simplicidad en la topología.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aplican medidas básicas de seguridad, incluyendo banners de advertencia, contraseñas administrativas y control de sesiones.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del diseño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diseño busca proporcionar una red: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Funcional y escalable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Claramente segmentada por áreas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 conectividad inter-sede confiable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Fácilmente administrable y documentada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jc w:val="both"/>
        <w:rPr>
          <w:b w:val="1"/>
          <w:bCs w:val="1"/>
          <w:color w:val="000000"/>
          <w:u w:val="single"/>
        </w:rPr>
      </w:pPr>
      <w:bookmarkStart w:colFirst="0" w:colLast="0" w:name="_k14grvgi9a7m" w:id="5"/>
      <w:bookmarkEnd w:id="5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Topología de red: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La red está compuesta por dos routers interconectados mediante un enlace WAN punto a punto. Cada router conecta múltiples redes LAN a través de switches de acceso, segmentadas por función y cantidad de hosts requeridos.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jc w:val="both"/>
        <w:rPr>
          <w:b w:val="1"/>
          <w:bCs w:val="1"/>
          <w:color w:val="000000"/>
          <w:u w:val="single"/>
        </w:rPr>
      </w:pPr>
      <w:bookmarkStart w:colFirst="0" w:colLast="0" w:name="_rpom9n9q2bqt" w:id="6"/>
      <w:bookmarkEnd w:id="6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Plan de direccionamiento IPv4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Se realizó el subneteo del bloque IPv4 asignado utilizando VLSM, optimizando el uso de direcciones según la cantidad de hosts de cada área.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-657224</wp:posOffset>
            </wp:positionH>
            <wp:positionV relativeFrom="paragraph">
              <wp:posOffset>1285875</wp:posOffset>
            </wp:positionV>
            <wp:extent cx="7381875" cy="1207150"/>
            <wp:effectExtent b="0" l="0" r="0" t="0"/>
            <wp:wrapSquare wrapText="bothSides" distB="114300" distT="114300" distL="114300" distR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120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-661987</wp:posOffset>
            </wp:positionH>
            <wp:positionV relativeFrom="paragraph">
              <wp:posOffset>133350</wp:posOffset>
            </wp:positionV>
            <wp:extent cx="7381875" cy="978550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978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pStyle w:val="Heading3"/>
        <w:jc w:val="both"/>
        <w:rPr>
          <w:b w:val="1"/>
          <w:bCs w:val="1"/>
          <w:color w:val="000000"/>
          <w:u w:val="single"/>
        </w:rPr>
      </w:pPr>
      <w:bookmarkStart w:colFirst="0" w:colLast="0" w:name="_3syx0v808jxf" w:id="7"/>
      <w:bookmarkEnd w:id="7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Plan de direccionamiento IPv6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Para IPv6 se asignaron prefijos /64 a cada subred, utilizando direccionamiento estático para la comunicación entre routers.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-657224</wp:posOffset>
            </wp:positionH>
            <wp:positionV relativeFrom="paragraph">
              <wp:posOffset>154400</wp:posOffset>
            </wp:positionV>
            <wp:extent cx="7381875" cy="1030262"/>
            <wp:effectExtent b="0" l="0" r="0" t="0"/>
            <wp:wrapSquare wrapText="bothSides" distB="114300" distT="114300" distL="114300" distR="1143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1030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jc w:val="both"/>
        <w:rPr>
          <w:b w:val="1"/>
          <w:bCs w:val="1"/>
          <w:color w:val="000000"/>
          <w:u w:val="single"/>
        </w:rPr>
      </w:pPr>
      <w:bookmarkStart w:colFirst="0" w:colLast="0" w:name="_bh8umh984c3d" w:id="8"/>
      <w:bookmarkEnd w:id="8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Configuración de dispositivos</w:t>
      </w:r>
    </w:p>
    <w:p w:rsidR="00000000" w:rsidDel="00000000" w:rsidP="00000000" w:rsidRDefault="00000000" w:rsidRPr="00000000" w14:paraId="00000031">
      <w:pPr>
        <w:pStyle w:val="Heading4"/>
        <w:jc w:val="both"/>
        <w:rPr>
          <w:b w:val="1"/>
          <w:bCs w:val="1"/>
          <w:color w:val="000000"/>
        </w:rPr>
      </w:pPr>
      <w:bookmarkStart w:colFirst="0" w:colLast="0" w:name="_2r9vpvfbbduu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Configuración de Routers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routers de la red fueron configurados para proporcionar conectividad entre las distintas subredes locales y entre sedes.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router cuenta con direccionamiento IPv4 y IPv6 en sus interfaces LAN, actuando como gateway predeterminado para las redes correspondientes. El enlace WAN entre la Oficina Central (HQ) y el Centro de Distribución (DC) fue implementado mediante un enlace serial punto a punto, con direccionamiento dedicado para la comunicación inter-sede.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garantizar la conectividad entre todas las redes IPv4, se configuró enrutamiento estático, incluyendo rutas específicas y rutas por defecto según el diseño de la topología.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Adicionalmente, se aplicaron configuraciones básicas de seguridad, como banners de advertencia, contraseñas administrativas y control de tiempo de inactividad en sesiones de acceso mediante el comando </w:t>
      </w:r>
      <w:r w:rsidDel="00000000" w:rsidR="00000000" w:rsidRPr="00000000">
        <w:rPr>
          <w:rtl w:val="0"/>
        </w:rPr>
        <w:t xml:space="preserve">exec-timeout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4"/>
        <w:jc w:val="both"/>
        <w:rPr>
          <w:b w:val="1"/>
          <w:bCs w:val="1"/>
          <w:color w:val="000000"/>
        </w:rPr>
      </w:pPr>
      <w:bookmarkStart w:colFirst="0" w:colLast="0" w:name="_ymjyvvdvwmq3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Configuración de Switches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switches de acceso fueron configurados como dispositivos de capa 2, encargados de la interconexión de los equipos finales dentro de cada red LAN.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switch cuenta con una dirección IP de gestión configurada sobre la interfaz VLAN 1, utilizada exclusivamente para tareas de administración. El gateway por defecto de cada switch apunta a la interfaz del router correspondiente a su red local.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implementaron medidas básicas de seguridad, incluyendo la configuración de banners informativos y el cifrado de contraseñas, con el objetivo de proteger el acceso administrativo a los dispositivos.</w:t>
      </w:r>
    </w:p>
    <w:p w:rsidR="00000000" w:rsidDel="00000000" w:rsidP="00000000" w:rsidRDefault="00000000" w:rsidRPr="00000000" w14:paraId="0000003A">
      <w:pPr>
        <w:pStyle w:val="Heading3"/>
        <w:spacing w:after="240" w:before="240" w:lineRule="auto"/>
        <w:jc w:val="both"/>
        <w:rPr>
          <w:b w:val="1"/>
          <w:bCs w:val="1"/>
          <w:color w:val="000000"/>
          <w:u w:val="single"/>
        </w:rPr>
      </w:pPr>
      <w:bookmarkStart w:colFirst="0" w:colLast="0" w:name="_8gcfxamxcxe0" w:id="11"/>
      <w:bookmarkEnd w:id="11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Servicios de red – Servidor TFTP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Se implementó un </w:t>
      </w:r>
      <w:r w:rsidDel="00000000" w:rsidR="00000000" w:rsidRPr="00000000">
        <w:rPr>
          <w:b w:val="1"/>
          <w:bCs w:val="1"/>
          <w:rtl w:val="0"/>
        </w:rPr>
        <w:t xml:space="preserve">servidor de red centralizado</w:t>
      </w:r>
      <w:r w:rsidDel="00000000" w:rsidR="00000000" w:rsidRPr="00000000">
        <w:rPr>
          <w:rtl w:val="0"/>
        </w:rPr>
        <w:t xml:space="preserve"> en la sede </w:t>
      </w:r>
      <w:r w:rsidDel="00000000" w:rsidR="00000000" w:rsidRPr="00000000">
        <w:rPr>
          <w:b w:val="1"/>
          <w:bCs w:val="1"/>
          <w:rtl w:val="0"/>
        </w:rPr>
        <w:t xml:space="preserve">Headquarters (HQ)</w:t>
      </w:r>
      <w:r w:rsidDel="00000000" w:rsidR="00000000" w:rsidRPr="00000000">
        <w:rPr>
          <w:rtl w:val="0"/>
        </w:rPr>
        <w:t xml:space="preserve">, ubicado dentro de la red </w:t>
      </w:r>
      <w:r w:rsidDel="00000000" w:rsidR="00000000" w:rsidRPr="00000000">
        <w:rPr>
          <w:b w:val="1"/>
          <w:bCs w:val="1"/>
          <w:rtl w:val="0"/>
        </w:rPr>
        <w:t xml:space="preserve">HQ-SERVERS</w:t>
      </w:r>
      <w:r w:rsidDel="00000000" w:rsidR="00000000" w:rsidRPr="00000000">
        <w:rPr>
          <w:rtl w:val="0"/>
        </w:rPr>
        <w:t xml:space="preserve">, con el objetivo de proporcionar servicios de soporte a la infraestructura de red.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El servidor cumple el rol de </w:t>
      </w:r>
      <w:r w:rsidDel="00000000" w:rsidR="00000000" w:rsidRPr="00000000">
        <w:rPr>
          <w:b w:val="1"/>
          <w:bCs w:val="1"/>
          <w:rtl w:val="0"/>
        </w:rPr>
        <w:t xml:space="preserve">servidor TFTP</w:t>
      </w:r>
      <w:r w:rsidDel="00000000" w:rsidR="00000000" w:rsidRPr="00000000">
        <w:rPr>
          <w:rtl w:val="0"/>
        </w:rPr>
        <w:t xml:space="preserve">, utilizado para el </w:t>
      </w:r>
      <w:r w:rsidDel="00000000" w:rsidR="00000000" w:rsidRPr="00000000">
        <w:rPr>
          <w:b w:val="1"/>
          <w:bCs w:val="1"/>
          <w:rtl w:val="0"/>
        </w:rPr>
        <w:t xml:space="preserve">respaldo de las configuraciones</w:t>
      </w:r>
      <w:r w:rsidDel="00000000" w:rsidR="00000000" w:rsidRPr="00000000">
        <w:rPr>
          <w:rtl w:val="0"/>
        </w:rPr>
        <w:t xml:space="preserve"> de los routers y switches de la red corporativa. Este servicio permite almacenar copias de seguridad de las configuraciones activas de los dispositivos de red, facilitando la recuperación ante fallos, errores de configuración o reemplazo de equipos.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El servidor TFTP cuenta con una </w:t>
      </w:r>
      <w:r w:rsidDel="00000000" w:rsidR="00000000" w:rsidRPr="00000000">
        <w:rPr>
          <w:b w:val="1"/>
          <w:bCs w:val="1"/>
          <w:rtl w:val="0"/>
        </w:rPr>
        <w:t xml:space="preserve">dirección IP estática</w:t>
      </w:r>
      <w:r w:rsidDel="00000000" w:rsidR="00000000" w:rsidRPr="00000000">
        <w:rPr>
          <w:rtl w:val="0"/>
        </w:rPr>
        <w:t xml:space="preserve">, asignada dentro de la subred </w:t>
      </w:r>
      <w:r w:rsidDel="00000000" w:rsidR="00000000" w:rsidRPr="00000000">
        <w:rPr>
          <w:b w:val="1"/>
          <w:bCs w:val="1"/>
          <w:rtl w:val="0"/>
        </w:rPr>
        <w:t xml:space="preserve">HQ-SERVERS</w:t>
      </w:r>
      <w:r w:rsidDel="00000000" w:rsidR="00000000" w:rsidRPr="00000000">
        <w:rPr>
          <w:rtl w:val="0"/>
        </w:rPr>
        <w:t xml:space="preserve">, garantizando su disponibilidad permanente para los dispositivos de red que requieran acceder al servicio de respaldo.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realizó el respaldo de las configuraciones de routers y switches mediante el uso del comando </w:t>
      </w:r>
      <w:r w:rsidDel="00000000" w:rsidR="00000000" w:rsidRPr="00000000">
        <w:rPr>
          <w:rtl w:val="0"/>
        </w:rPr>
        <w:t xml:space="preserve">copy running-config tftp</w:t>
      </w:r>
      <w:r w:rsidDel="00000000" w:rsidR="00000000" w:rsidRPr="00000000">
        <w:rPr>
          <w:rtl w:val="0"/>
        </w:rPr>
        <w:t xml:space="preserve">, almacenando los archivos de configuración en el servidor TFTP con nombres identificativos según el dispositivo correspondiente.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práctica permite mantener un control de las configuraciones y asegurar la continuidad operativa de la red ante eventuales incidentes.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implementación de un servidor TFTP centralizado mejora la </w:t>
      </w:r>
      <w:r w:rsidDel="00000000" w:rsidR="00000000" w:rsidRPr="00000000">
        <w:rPr>
          <w:b w:val="1"/>
          <w:bCs w:val="1"/>
          <w:rtl w:val="0"/>
        </w:rPr>
        <w:t xml:space="preserve">administración de la red</w:t>
      </w:r>
      <w:r w:rsidDel="00000000" w:rsidR="00000000" w:rsidRPr="00000000">
        <w:rPr>
          <w:rtl w:val="0"/>
        </w:rPr>
        <w:t xml:space="preserve">, reduce el riesgo de pérdida de configuraciones críticas y aporta una solución simple y efectiva para la gestión de respaldos en una red corporativa multisede.</w:t>
      </w:r>
    </w:p>
    <w:p w:rsidR="00000000" w:rsidDel="00000000" w:rsidP="00000000" w:rsidRDefault="00000000" w:rsidRPr="00000000" w14:paraId="00000043">
      <w:pPr>
        <w:pStyle w:val="Heading3"/>
        <w:jc w:val="both"/>
        <w:rPr>
          <w:b w:val="1"/>
          <w:bCs w:val="1"/>
          <w:color w:val="000000"/>
          <w:u w:val="single"/>
        </w:rPr>
      </w:pPr>
      <w:bookmarkStart w:colFirst="0" w:colLast="0" w:name="_bxiw6dfuu8gn" w:id="12"/>
      <w:bookmarkEnd w:id="12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Seguridad básica de la red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Con el objetivo de proteger el acceso administrativo a los dispositivos de red y aplicar buenas prácticas básicas de seguridad, se implementaron medidas de seguridad en routers y switches de la infraestructura corporativa.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Se configuraron </w:t>
      </w:r>
      <w:r w:rsidDel="00000000" w:rsidR="00000000" w:rsidRPr="00000000">
        <w:rPr>
          <w:b w:val="1"/>
          <w:bCs w:val="1"/>
          <w:rtl w:val="0"/>
        </w:rPr>
        <w:t xml:space="preserve">banners de advertencia (MOTD)</w:t>
      </w:r>
      <w:r w:rsidDel="00000000" w:rsidR="00000000" w:rsidRPr="00000000">
        <w:rPr>
          <w:rtl w:val="0"/>
        </w:rPr>
        <w:t xml:space="preserve"> en todos los routers y switches, informando que el acceso a los dispositivos está restringido únicamente a personal autorizado. Esta medida cumple una función disuasoria y establece un aviso legal previo al acceso administrativo.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configuraron </w:t>
      </w:r>
      <w:r w:rsidDel="00000000" w:rsidR="00000000" w:rsidRPr="00000000">
        <w:rPr>
          <w:b w:val="1"/>
          <w:bCs w:val="1"/>
          <w:rtl w:val="0"/>
        </w:rPr>
        <w:t xml:space="preserve">contraseñas de acceso</w:t>
      </w:r>
      <w:r w:rsidDel="00000000" w:rsidR="00000000" w:rsidRPr="00000000">
        <w:rPr>
          <w:rtl w:val="0"/>
        </w:rPr>
        <w:t xml:space="preserve"> para el modo privilegiado, la línea de consola y las líneas VTY, limitando el acceso a la configuración de los dispositivos únicamente a usuarios autorizados.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Adicionalmente, se habilitó el </w:t>
      </w:r>
      <w:r w:rsidDel="00000000" w:rsidR="00000000" w:rsidRPr="00000000">
        <w:rPr>
          <w:b w:val="1"/>
          <w:bCs w:val="1"/>
          <w:rtl w:val="0"/>
        </w:rPr>
        <w:t xml:space="preserve">cifrado de contraseñas</w:t>
      </w:r>
      <w:r w:rsidDel="00000000" w:rsidR="00000000" w:rsidRPr="00000000">
        <w:rPr>
          <w:rtl w:val="0"/>
        </w:rPr>
        <w:t xml:space="preserve"> almacenadas en la configuración, evitando que estas se visualicen en texto plano.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prevenir accesos no autorizados derivados de sesiones abiertas, se configuró un </w:t>
      </w:r>
      <w:r w:rsidDel="00000000" w:rsidR="00000000" w:rsidRPr="00000000">
        <w:rPr>
          <w:b w:val="1"/>
          <w:bCs w:val="1"/>
          <w:rtl w:val="0"/>
        </w:rPr>
        <w:t xml:space="preserve">tiempo máximo de inactividad</w:t>
      </w:r>
      <w:r w:rsidDel="00000000" w:rsidR="00000000" w:rsidRPr="00000000">
        <w:rPr>
          <w:rtl w:val="0"/>
        </w:rPr>
        <w:t xml:space="preserve"> en las líneas de consola y acceso remoto mediante el comando </w:t>
      </w:r>
      <w:r w:rsidDel="00000000" w:rsidR="00000000" w:rsidRPr="00000000">
        <w:rPr>
          <w:rtl w:val="0"/>
        </w:rPr>
        <w:t xml:space="preserve">exec-timeout</w:t>
      </w:r>
      <w:r w:rsidDel="00000000" w:rsidR="00000000" w:rsidRPr="00000000">
        <w:rPr>
          <w:rtl w:val="0"/>
        </w:rPr>
        <w:t xml:space="preserve">, forzando el cierre automático de sesiones sin actividad durante un período determinado.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medidas implementadas corresponden a un </w:t>
      </w:r>
      <w:r w:rsidDel="00000000" w:rsidR="00000000" w:rsidRPr="00000000">
        <w:rPr>
          <w:b w:val="1"/>
          <w:bCs w:val="1"/>
          <w:rtl w:val="0"/>
        </w:rPr>
        <w:t xml:space="preserve">nivel básico de seguridad</w:t>
      </w:r>
      <w:r w:rsidDel="00000000" w:rsidR="00000000" w:rsidRPr="00000000">
        <w:rPr>
          <w:rtl w:val="0"/>
        </w:rPr>
        <w:t xml:space="preserve">, adecuado al alcance del proyecto y a los contenidos del curso, priorizando simplicidad, claridad y facilidad de administración. Funcionalidades avanzadas de seguridad quedan consideradas como posibles mejoras futuras.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240" w:before="240" w:lineRule="auto"/>
        <w:jc w:val="both"/>
        <w:rPr>
          <w:b w:val="1"/>
          <w:bCs w:val="1"/>
          <w:color w:val="000000"/>
          <w:u w:val="single"/>
        </w:rPr>
      </w:pPr>
      <w:bookmarkStart w:colFirst="0" w:colLast="0" w:name="_ff4aiu8ub88x" w:id="13"/>
      <w:bookmarkEnd w:id="13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Pruebas y validación de la red</w:t>
      </w:r>
    </w:p>
    <w:p w:rsidR="00000000" w:rsidDel="00000000" w:rsidP="00000000" w:rsidRDefault="00000000" w:rsidRPr="00000000" w14:paraId="0000004E">
      <w:pPr>
        <w:pStyle w:val="Heading4"/>
        <w:jc w:val="both"/>
        <w:rPr>
          <w:color w:val="000000"/>
        </w:rPr>
      </w:pPr>
      <w:bookmarkStart w:colFirst="0" w:colLast="0" w:name="_1e8brpsc03is" w:id="14"/>
      <w:bookmarkEnd w:id="14"/>
      <w:r w:rsidDel="00000000" w:rsidR="00000000" w:rsidRPr="00000000">
        <w:rPr>
          <w:color w:val="000000"/>
          <w:rtl w:val="0"/>
        </w:rPr>
        <w:t xml:space="preserve">1. PRUEBAS CON ping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PC Origen</w:t>
      </w:r>
      <w:r w:rsidDel="00000000" w:rsidR="00000000" w:rsidRPr="00000000">
        <w:rPr>
          <w:rtl w:val="0"/>
        </w:rPr>
        <w:t xml:space="preserve">: PC-ADM-CU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PC Destino</w:t>
      </w:r>
      <w:r w:rsidDel="00000000" w:rsidR="00000000" w:rsidRPr="00000000">
        <w:rPr>
          <w:rtl w:val="0"/>
        </w:rPr>
        <w:t xml:space="preserve">: Laptop-DC-CALLCENTER-2</w:t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IPv4: </w:t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81500" cy="20383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IPv6:</w:t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29150" cy="20669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2. PRUEBAS CON </w:t>
      </w:r>
      <w:r w:rsidDel="00000000" w:rsidR="00000000" w:rsidRPr="00000000">
        <w:rPr>
          <w:rtl w:val="0"/>
        </w:rPr>
        <w:t xml:space="preserve">TRACEROUTE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PC Origen</w:t>
      </w:r>
      <w:r w:rsidDel="00000000" w:rsidR="00000000" w:rsidRPr="00000000">
        <w:rPr>
          <w:rtl w:val="0"/>
        </w:rPr>
        <w:t xml:space="preserve">: PC-ADM-CU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PC Destino</w:t>
      </w:r>
      <w:r w:rsidDel="00000000" w:rsidR="00000000" w:rsidRPr="00000000">
        <w:rPr>
          <w:rtl w:val="0"/>
        </w:rPr>
        <w:t xml:space="preserve">: Laptop-DC-CALLCENTER-2</w:t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IPv4: </w:t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57700" cy="14287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IPv6: </w:t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81575" cy="14668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Se realizaron pruebas de conectividad para validar el correcto funcionamiento de la red. 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Las pruebas incluyeron el uso de comandos ping y traceroute desde distintos equipos finales, 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verificando la comunicación entre las subredes locales y entre las sedes HQ y DC.</w:t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480" w:lineRule="auto"/>
        <w:jc w:val="both"/>
        <w:rPr>
          <w:b w:val="1"/>
          <w:bCs w:val="1"/>
          <w:color w:val="000000"/>
        </w:rPr>
      </w:pPr>
      <w:bookmarkStart w:colFirst="0" w:colLast="0" w:name="_qqsqzj1k1yka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Conclusión</w:t>
      </w:r>
    </w:p>
    <w:p w:rsidR="00000000" w:rsidDel="00000000" w:rsidP="00000000" w:rsidRDefault="00000000" w:rsidRPr="00000000" w14:paraId="0000006D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El proyecto desarrollado permitió diseñar e implementar una red corporativa multisede que conecta una Oficina Central (HQ) y un Centro de Distribución (DC), cumpliendo con los objetivos planteados de conectividad, segmentación y administración de la red.</w:t>
      </w:r>
    </w:p>
    <w:p w:rsidR="00000000" w:rsidDel="00000000" w:rsidP="00000000" w:rsidRDefault="00000000" w:rsidRPr="00000000" w14:paraId="0000006E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A través del uso de direccionamiento IPv4 con VLSM y direccionamiento IPv6 complementario, se logró un uso eficiente de los recursos de red, adaptando cada subred a la cantidad de dispositivos requeridos. La implementación de enrutamiento estático garantizó la comunicación entre todas las subredes locales y entre sedes, utilizando un enlace WAN punto a punto.</w:t>
      </w:r>
    </w:p>
    <w:p w:rsidR="00000000" w:rsidDel="00000000" w:rsidP="00000000" w:rsidRDefault="00000000" w:rsidRPr="00000000" w14:paraId="0000006F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Asimismo, se aplicaron buenas prácticas de configuración y seguridad básica en routers y switches, incluyendo banners de advertencia, contraseñas administrativas, cifrado de credenciales y control de sesiones inactivas. Se incorporó además un servidor TFTP centralizado, permitiendo el respaldo de las configuraciones de los dispositivos de red y facilitando tareas de mantenimiento y recuperación.</w:t>
      </w:r>
    </w:p>
    <w:p w:rsidR="00000000" w:rsidDel="00000000" w:rsidP="00000000" w:rsidRDefault="00000000" w:rsidRPr="00000000" w14:paraId="00000070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La correcta operación de la red fue validada mediante pruebas de conectividad utilizando comandos de diagnóstico y el modo de simulación de Packet Tracer, confirmando el funcionamiento del enrutamiento y la conectividad inter-sede.</w:t>
      </w:r>
    </w:p>
    <w:p w:rsidR="00000000" w:rsidDel="00000000" w:rsidP="00000000" w:rsidRDefault="00000000" w:rsidRPr="00000000" w14:paraId="00000071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En conclusión, el proyecto presenta una solución de red funcional, organizada y documentada, alineada con criterios de diseño utilizados en entornos corporativos reales, constituyendo una base sólida para futuras ampliaciones y mejoras.</w:t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