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356A3" w14:textId="77777777" w:rsidR="00893981" w:rsidRDefault="00893981" w:rsidP="00C2293A">
      <w:pPr>
        <w:rPr>
          <w:rFonts w:ascii="Arial" w:hAnsi="Arial" w:cs="Arial"/>
          <w:b/>
          <w:bCs/>
          <w:sz w:val="40"/>
          <w:szCs w:val="40"/>
        </w:rPr>
      </w:pPr>
    </w:p>
    <w:p w14:paraId="277A8F35" w14:textId="77777777" w:rsidR="00C2293A" w:rsidRDefault="00C2293A" w:rsidP="00C2293A">
      <w:pPr>
        <w:rPr>
          <w:rFonts w:ascii="Arial" w:hAnsi="Arial" w:cs="Arial"/>
          <w:b/>
          <w:bCs/>
          <w:sz w:val="40"/>
          <w:szCs w:val="40"/>
        </w:rPr>
      </w:pPr>
    </w:p>
    <w:p w14:paraId="3040566A" w14:textId="77777777" w:rsidR="00C2293A" w:rsidRDefault="00C2293A" w:rsidP="00C2293A">
      <w:pPr>
        <w:rPr>
          <w:rFonts w:ascii="Arial" w:hAnsi="Arial" w:cs="Arial"/>
          <w:b/>
          <w:bCs/>
          <w:sz w:val="40"/>
          <w:szCs w:val="40"/>
        </w:rPr>
      </w:pPr>
    </w:p>
    <w:p w14:paraId="41FB9675" w14:textId="77777777" w:rsidR="00C2293A" w:rsidRDefault="00C2293A" w:rsidP="00C2293A">
      <w:pPr>
        <w:rPr>
          <w:rFonts w:ascii="Arial" w:hAnsi="Arial" w:cs="Arial"/>
          <w:b/>
          <w:bCs/>
          <w:sz w:val="40"/>
          <w:szCs w:val="40"/>
        </w:rPr>
      </w:pPr>
    </w:p>
    <w:p w14:paraId="6BC8BABA" w14:textId="77777777" w:rsidR="00C2293A" w:rsidRDefault="00C2293A" w:rsidP="00C2293A">
      <w:pPr>
        <w:rPr>
          <w:rFonts w:ascii="Arial" w:hAnsi="Arial" w:cs="Arial"/>
          <w:b/>
          <w:bCs/>
          <w:sz w:val="40"/>
          <w:szCs w:val="40"/>
        </w:rPr>
      </w:pPr>
    </w:p>
    <w:p w14:paraId="210C960F" w14:textId="77777777" w:rsidR="00C2293A" w:rsidRDefault="00C2293A" w:rsidP="00C2293A">
      <w:pPr>
        <w:rPr>
          <w:rFonts w:ascii="Arial" w:hAnsi="Arial" w:cs="Arial"/>
          <w:b/>
          <w:bCs/>
          <w:sz w:val="40"/>
          <w:szCs w:val="40"/>
        </w:rPr>
      </w:pPr>
    </w:p>
    <w:p w14:paraId="52BEFC84" w14:textId="77777777" w:rsidR="00C2293A" w:rsidRDefault="00C2293A" w:rsidP="00C2293A">
      <w:pPr>
        <w:rPr>
          <w:rFonts w:ascii="Arial" w:hAnsi="Arial" w:cs="Arial"/>
          <w:b/>
          <w:bCs/>
          <w:sz w:val="40"/>
          <w:szCs w:val="40"/>
        </w:rPr>
      </w:pPr>
    </w:p>
    <w:p w14:paraId="485368C8" w14:textId="77777777" w:rsidR="00C2293A" w:rsidRPr="00893981" w:rsidRDefault="00C2293A" w:rsidP="00C2293A">
      <w:pPr>
        <w:rPr>
          <w:rFonts w:ascii="Arial" w:hAnsi="Arial" w:cs="Arial"/>
          <w:b/>
          <w:bCs/>
          <w:sz w:val="40"/>
          <w:szCs w:val="40"/>
        </w:rPr>
      </w:pPr>
    </w:p>
    <w:p w14:paraId="469A810C" w14:textId="77777777" w:rsidR="00C2293A" w:rsidRDefault="00C2293A" w:rsidP="00C2293A">
      <w:pPr>
        <w:rPr>
          <w:rFonts w:ascii="Arial" w:hAnsi="Arial" w:cs="Arial"/>
          <w:b/>
          <w:bCs/>
          <w:sz w:val="40"/>
          <w:szCs w:val="40"/>
        </w:rPr>
      </w:pPr>
    </w:p>
    <w:p w14:paraId="3C8759EE" w14:textId="30558F0A" w:rsidR="00893981" w:rsidRPr="00893981" w:rsidRDefault="00893981" w:rsidP="00C2293A">
      <w:pPr>
        <w:rPr>
          <w:rFonts w:ascii="Arial" w:hAnsi="Arial" w:cs="Arial"/>
          <w:b/>
          <w:bCs/>
          <w:sz w:val="40"/>
          <w:szCs w:val="40"/>
        </w:rPr>
      </w:pPr>
      <w:r w:rsidRPr="0074164E">
        <w:rPr>
          <w:rFonts w:ascii="Arial" w:hAnsi="Arial" w:cs="Arial"/>
          <w:b/>
          <w:bCs/>
          <w:sz w:val="40"/>
          <w:szCs w:val="40"/>
        </w:rPr>
        <w:t>1. Commercial Banking Operations</w:t>
      </w:r>
    </w:p>
    <w:p w14:paraId="5AC7CD98" w14:textId="77777777" w:rsidR="00893981" w:rsidRPr="0074164E" w:rsidRDefault="00893981" w:rsidP="00C2293A">
      <w:pPr>
        <w:rPr>
          <w:rFonts w:ascii="Arial" w:hAnsi="Arial" w:cs="Arial"/>
          <w:b/>
          <w:bCs/>
          <w:sz w:val="40"/>
          <w:szCs w:val="40"/>
        </w:rPr>
      </w:pPr>
      <w:r w:rsidRPr="0074164E">
        <w:rPr>
          <w:rFonts w:ascii="Arial" w:hAnsi="Arial" w:cs="Arial"/>
          <w:b/>
          <w:bCs/>
          <w:sz w:val="40"/>
          <w:szCs w:val="40"/>
        </w:rPr>
        <w:t>2. Investment Banking Operations</w:t>
      </w:r>
    </w:p>
    <w:p w14:paraId="448BC6B4" w14:textId="77777777" w:rsidR="00893981" w:rsidRPr="002C6915" w:rsidRDefault="00893981" w:rsidP="00893981">
      <w:pPr>
        <w:spacing w:before="100" w:beforeAutospacing="1" w:after="100" w:afterAutospacing="1" w:line="240" w:lineRule="auto"/>
        <w:jc w:val="center"/>
        <w:rPr>
          <w:rFonts w:ascii="Arial" w:eastAsia="Times New Roman" w:hAnsi="Arial" w:cs="Arial"/>
          <w:b/>
          <w:bCs/>
          <w:kern w:val="0"/>
          <w:sz w:val="32"/>
          <w:szCs w:val="32"/>
          <w:lang w:eastAsia="en-IN"/>
          <w14:ligatures w14:val="none"/>
        </w:rPr>
      </w:pPr>
      <w:r w:rsidRPr="002C6915">
        <w:rPr>
          <w:rFonts w:ascii="Arial" w:eastAsia="Times New Roman" w:hAnsi="Arial" w:cs="Arial"/>
          <w:b/>
          <w:bCs/>
          <w:kern w:val="0"/>
          <w:sz w:val="32"/>
          <w:szCs w:val="32"/>
          <w:lang w:eastAsia="en-IN"/>
          <w14:ligatures w14:val="none"/>
        </w:rPr>
        <w:t>(Presented By Alan Stuart K)</w:t>
      </w:r>
    </w:p>
    <w:p w14:paraId="0AF82103" w14:textId="77777777" w:rsidR="00893981" w:rsidRDefault="00893981" w:rsidP="0074164E">
      <w:pPr>
        <w:rPr>
          <w:rFonts w:ascii="Arial" w:hAnsi="Arial" w:cs="Arial"/>
          <w:b/>
          <w:bCs/>
          <w:sz w:val="28"/>
          <w:szCs w:val="28"/>
        </w:rPr>
      </w:pPr>
    </w:p>
    <w:p w14:paraId="51B32134" w14:textId="77777777" w:rsidR="00893981" w:rsidRDefault="00893981" w:rsidP="0074164E">
      <w:pPr>
        <w:rPr>
          <w:rFonts w:ascii="Arial" w:hAnsi="Arial" w:cs="Arial"/>
          <w:b/>
          <w:bCs/>
          <w:sz w:val="28"/>
          <w:szCs w:val="28"/>
        </w:rPr>
      </w:pPr>
    </w:p>
    <w:p w14:paraId="09A5AAB5" w14:textId="77777777" w:rsidR="00893981" w:rsidRDefault="00893981" w:rsidP="0074164E">
      <w:pPr>
        <w:rPr>
          <w:rFonts w:ascii="Arial" w:hAnsi="Arial" w:cs="Arial"/>
          <w:b/>
          <w:bCs/>
          <w:sz w:val="28"/>
          <w:szCs w:val="28"/>
        </w:rPr>
      </w:pPr>
    </w:p>
    <w:p w14:paraId="1A81FDF4" w14:textId="77777777" w:rsidR="00893981" w:rsidRDefault="00893981" w:rsidP="0074164E">
      <w:pPr>
        <w:rPr>
          <w:rFonts w:ascii="Arial" w:hAnsi="Arial" w:cs="Arial"/>
          <w:b/>
          <w:bCs/>
          <w:sz w:val="28"/>
          <w:szCs w:val="28"/>
        </w:rPr>
      </w:pPr>
    </w:p>
    <w:p w14:paraId="5646B0D0" w14:textId="77777777" w:rsidR="00893981" w:rsidRDefault="00893981" w:rsidP="0074164E">
      <w:pPr>
        <w:rPr>
          <w:rFonts w:ascii="Arial" w:hAnsi="Arial" w:cs="Arial"/>
          <w:b/>
          <w:bCs/>
          <w:sz w:val="28"/>
          <w:szCs w:val="28"/>
        </w:rPr>
      </w:pPr>
    </w:p>
    <w:p w14:paraId="404E01D5" w14:textId="77777777" w:rsidR="00893981" w:rsidRDefault="00893981" w:rsidP="0074164E">
      <w:pPr>
        <w:rPr>
          <w:rFonts w:ascii="Arial" w:hAnsi="Arial" w:cs="Arial"/>
          <w:b/>
          <w:bCs/>
          <w:sz w:val="28"/>
          <w:szCs w:val="28"/>
        </w:rPr>
      </w:pPr>
    </w:p>
    <w:p w14:paraId="71451F04" w14:textId="77777777" w:rsidR="00893981" w:rsidRDefault="00893981" w:rsidP="0074164E">
      <w:pPr>
        <w:rPr>
          <w:rFonts w:ascii="Arial" w:hAnsi="Arial" w:cs="Arial"/>
          <w:b/>
          <w:bCs/>
          <w:sz w:val="28"/>
          <w:szCs w:val="28"/>
        </w:rPr>
      </w:pPr>
    </w:p>
    <w:p w14:paraId="08CA4F40" w14:textId="77777777" w:rsidR="00893981" w:rsidRDefault="00893981" w:rsidP="0074164E">
      <w:pPr>
        <w:rPr>
          <w:rFonts w:ascii="Arial" w:hAnsi="Arial" w:cs="Arial"/>
          <w:b/>
          <w:bCs/>
          <w:sz w:val="28"/>
          <w:szCs w:val="28"/>
        </w:rPr>
      </w:pPr>
    </w:p>
    <w:p w14:paraId="7811DB97" w14:textId="77777777" w:rsidR="00893981" w:rsidRDefault="00893981" w:rsidP="0074164E">
      <w:pPr>
        <w:rPr>
          <w:rFonts w:ascii="Arial" w:hAnsi="Arial" w:cs="Arial"/>
          <w:b/>
          <w:bCs/>
          <w:sz w:val="28"/>
          <w:szCs w:val="28"/>
        </w:rPr>
      </w:pPr>
    </w:p>
    <w:p w14:paraId="17E5C071" w14:textId="77777777" w:rsidR="00893981" w:rsidRDefault="00893981" w:rsidP="0074164E">
      <w:pPr>
        <w:rPr>
          <w:rFonts w:ascii="Arial" w:hAnsi="Arial" w:cs="Arial"/>
          <w:b/>
          <w:bCs/>
          <w:sz w:val="28"/>
          <w:szCs w:val="28"/>
        </w:rPr>
      </w:pPr>
    </w:p>
    <w:p w14:paraId="7E7636CE" w14:textId="77777777" w:rsidR="00893981" w:rsidRDefault="00893981" w:rsidP="0074164E">
      <w:pPr>
        <w:rPr>
          <w:rFonts w:ascii="Arial" w:hAnsi="Arial" w:cs="Arial"/>
          <w:b/>
          <w:bCs/>
          <w:sz w:val="28"/>
          <w:szCs w:val="28"/>
        </w:rPr>
      </w:pPr>
    </w:p>
    <w:p w14:paraId="63B8EDCE" w14:textId="77777777" w:rsidR="00CA1B7C" w:rsidRDefault="00CA1B7C" w:rsidP="0074164E">
      <w:pPr>
        <w:rPr>
          <w:rFonts w:ascii="Arial" w:hAnsi="Arial" w:cs="Arial"/>
          <w:b/>
          <w:bCs/>
          <w:sz w:val="28"/>
          <w:szCs w:val="28"/>
        </w:rPr>
      </w:pPr>
    </w:p>
    <w:p w14:paraId="0DFBFF39" w14:textId="7E5A27E1" w:rsidR="0074164E" w:rsidRPr="0074164E" w:rsidRDefault="0074164E" w:rsidP="0074164E">
      <w:pPr>
        <w:rPr>
          <w:rFonts w:ascii="Arial" w:hAnsi="Arial" w:cs="Arial"/>
          <w:b/>
          <w:bCs/>
          <w:sz w:val="28"/>
          <w:szCs w:val="28"/>
        </w:rPr>
      </w:pPr>
      <w:r w:rsidRPr="0074164E">
        <w:rPr>
          <w:rFonts w:ascii="Arial" w:hAnsi="Arial" w:cs="Arial"/>
          <w:b/>
          <w:bCs/>
          <w:sz w:val="28"/>
          <w:szCs w:val="28"/>
        </w:rPr>
        <w:lastRenderedPageBreak/>
        <w:t>1. Commercial Banking Operations</w:t>
      </w:r>
      <w:r w:rsidR="0008708A">
        <w:rPr>
          <w:rFonts w:ascii="Arial" w:hAnsi="Arial" w:cs="Arial"/>
          <w:b/>
          <w:bCs/>
          <w:sz w:val="28"/>
          <w:szCs w:val="28"/>
        </w:rPr>
        <w:t>:</w:t>
      </w:r>
    </w:p>
    <w:p w14:paraId="3E07DA5B" w14:textId="34569A4D" w:rsidR="0008708A" w:rsidRPr="0008708A" w:rsidRDefault="0074164E" w:rsidP="0074164E">
      <w:pPr>
        <w:rPr>
          <w:rFonts w:ascii="Arial" w:hAnsi="Arial" w:cs="Arial"/>
          <w:sz w:val="28"/>
          <w:szCs w:val="28"/>
        </w:rPr>
      </w:pPr>
      <w:r w:rsidRPr="0074164E">
        <w:rPr>
          <w:rFonts w:ascii="Arial" w:hAnsi="Arial" w:cs="Arial"/>
          <w:b/>
          <w:bCs/>
          <w:sz w:val="28"/>
          <w:szCs w:val="28"/>
        </w:rPr>
        <w:t>Introduction</w:t>
      </w:r>
      <w:r w:rsidRPr="0008708A">
        <w:rPr>
          <w:rFonts w:ascii="Arial" w:hAnsi="Arial" w:cs="Arial"/>
          <w:b/>
          <w:bCs/>
          <w:sz w:val="28"/>
          <w:szCs w:val="28"/>
        </w:rPr>
        <w:t>:</w:t>
      </w:r>
      <w:r w:rsidRPr="0074164E">
        <w:rPr>
          <w:rFonts w:ascii="Arial" w:hAnsi="Arial" w:cs="Arial"/>
          <w:b/>
          <w:bCs/>
          <w:sz w:val="28"/>
          <w:szCs w:val="28"/>
        </w:rPr>
        <w:br/>
      </w:r>
      <w:r w:rsidRPr="0074164E">
        <w:rPr>
          <w:rFonts w:ascii="Arial" w:hAnsi="Arial" w:cs="Arial"/>
          <w:sz w:val="28"/>
          <w:szCs w:val="28"/>
        </w:rPr>
        <w:t>Commercial banking, also known as retail banking, involves providing a wide range of financial services to individuals, small businesses, and corporations. These services include accepting deposits, providing loans, offering savings and checking accounts, and other financial products. Commercial banks play a crucial role in the economy by facilitating financial transactions, providing credit, and managing financial assets.</w:t>
      </w:r>
    </w:p>
    <w:p w14:paraId="177AF916" w14:textId="63E407B0" w:rsidR="0074164E" w:rsidRPr="0074164E" w:rsidRDefault="0074164E" w:rsidP="0074164E">
      <w:pPr>
        <w:rPr>
          <w:rFonts w:ascii="Arial" w:hAnsi="Arial" w:cs="Arial"/>
          <w:b/>
          <w:bCs/>
          <w:sz w:val="28"/>
          <w:szCs w:val="28"/>
        </w:rPr>
      </w:pPr>
      <w:r w:rsidRPr="0074164E">
        <w:rPr>
          <w:rFonts w:ascii="Arial" w:hAnsi="Arial" w:cs="Arial"/>
          <w:b/>
          <w:bCs/>
          <w:sz w:val="28"/>
          <w:szCs w:val="28"/>
        </w:rPr>
        <w:t>Basic Terminologies</w:t>
      </w:r>
      <w:r w:rsidRPr="0008708A">
        <w:rPr>
          <w:rFonts w:ascii="Arial" w:hAnsi="Arial" w:cs="Arial"/>
          <w:b/>
          <w:bCs/>
          <w:sz w:val="28"/>
          <w:szCs w:val="28"/>
        </w:rPr>
        <w:t>:</w:t>
      </w:r>
    </w:p>
    <w:p w14:paraId="63B2907D"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t>Deposits</w:t>
      </w:r>
      <w:r w:rsidRPr="0074164E">
        <w:rPr>
          <w:rFonts w:ascii="Arial" w:hAnsi="Arial" w:cs="Arial"/>
          <w:sz w:val="28"/>
          <w:szCs w:val="28"/>
        </w:rPr>
        <w:t>: Funds placed into a bank account by customers. Deposits can be in the form of savings accounts, checking accounts, or fixed deposits.</w:t>
      </w:r>
    </w:p>
    <w:p w14:paraId="545E00E6"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t>Loans</w:t>
      </w:r>
      <w:r w:rsidRPr="0074164E">
        <w:rPr>
          <w:rFonts w:ascii="Arial" w:hAnsi="Arial" w:cs="Arial"/>
          <w:sz w:val="28"/>
          <w:szCs w:val="28"/>
        </w:rPr>
        <w:t>: Money lent by the bank to individuals or businesses with the expectation of repayment with interest. Common types of loans include personal loans, mortgages, and business loans.</w:t>
      </w:r>
    </w:p>
    <w:p w14:paraId="35554A34"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t>Interest Rate</w:t>
      </w:r>
      <w:r w:rsidRPr="0074164E">
        <w:rPr>
          <w:rFonts w:ascii="Arial" w:hAnsi="Arial" w:cs="Arial"/>
          <w:sz w:val="28"/>
          <w:szCs w:val="28"/>
        </w:rPr>
        <w:t>: The percentage charged by the bank on loans or paid on deposits. It is a critical factor in determining the cost of borrowing and the return on savings.</w:t>
      </w:r>
    </w:p>
    <w:p w14:paraId="240C6DC8"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t>Credit Risk</w:t>
      </w:r>
      <w:r w:rsidRPr="0074164E">
        <w:rPr>
          <w:rFonts w:ascii="Arial" w:hAnsi="Arial" w:cs="Arial"/>
          <w:sz w:val="28"/>
          <w:szCs w:val="28"/>
        </w:rPr>
        <w:t>: The risk that a borrower will default on their loan obligations. Banks assess credit risk to determine the likelihood of repayment.</w:t>
      </w:r>
    </w:p>
    <w:p w14:paraId="0BDC50AD"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t>Liquidity</w:t>
      </w:r>
      <w:r w:rsidRPr="0074164E">
        <w:rPr>
          <w:rFonts w:ascii="Arial" w:hAnsi="Arial" w:cs="Arial"/>
          <w:sz w:val="28"/>
          <w:szCs w:val="28"/>
        </w:rPr>
        <w:t>: The ability of the bank to meet its short-term obligations. High liquidity means the bank can easily convert assets to cash to meet withdrawal demands.</w:t>
      </w:r>
    </w:p>
    <w:p w14:paraId="1E0FA71C"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t>Capital Adequacy</w:t>
      </w:r>
      <w:r w:rsidRPr="0074164E">
        <w:rPr>
          <w:rFonts w:ascii="Arial" w:hAnsi="Arial" w:cs="Arial"/>
          <w:sz w:val="28"/>
          <w:szCs w:val="28"/>
        </w:rPr>
        <w:t>: A measure of a bank's financial strength, determined by its capital relative to its risk-weighted assets. Regulatory bodies set minimum capital adequacy ratios to ensure banks can absorb losses.</w:t>
      </w:r>
    </w:p>
    <w:p w14:paraId="598AA1BB"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t>Net Interest Margin (NIM)</w:t>
      </w:r>
      <w:r w:rsidRPr="0074164E">
        <w:rPr>
          <w:rFonts w:ascii="Arial" w:hAnsi="Arial" w:cs="Arial"/>
          <w:sz w:val="28"/>
          <w:szCs w:val="28"/>
        </w:rPr>
        <w:t>: The difference between the interest income generated by the bank and the amount of interest paid out to depositors, relative to the amount of their interest-earning assets.</w:t>
      </w:r>
    </w:p>
    <w:p w14:paraId="366B647E"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lastRenderedPageBreak/>
        <w:t>Non-Performing Assets (NPA)</w:t>
      </w:r>
      <w:r w:rsidRPr="0074164E">
        <w:rPr>
          <w:rFonts w:ascii="Arial" w:hAnsi="Arial" w:cs="Arial"/>
          <w:sz w:val="28"/>
          <w:szCs w:val="28"/>
        </w:rPr>
        <w:t>: Loans or advances for which the principal or interest payment remains overdue for a period of time. High NPAs indicate poor asset quality.</w:t>
      </w:r>
    </w:p>
    <w:p w14:paraId="50FAFC48" w14:textId="77777777" w:rsidR="0074164E" w:rsidRPr="0074164E" w:rsidRDefault="0074164E" w:rsidP="0074164E">
      <w:pPr>
        <w:numPr>
          <w:ilvl w:val="0"/>
          <w:numId w:val="1"/>
        </w:numPr>
        <w:rPr>
          <w:rFonts w:ascii="Arial" w:hAnsi="Arial" w:cs="Arial"/>
          <w:sz w:val="28"/>
          <w:szCs w:val="28"/>
        </w:rPr>
      </w:pPr>
      <w:r w:rsidRPr="0074164E">
        <w:rPr>
          <w:rFonts w:ascii="Arial" w:hAnsi="Arial" w:cs="Arial"/>
          <w:b/>
          <w:bCs/>
          <w:sz w:val="28"/>
          <w:szCs w:val="28"/>
        </w:rPr>
        <w:t>Retail Banking</w:t>
      </w:r>
      <w:r w:rsidRPr="0074164E">
        <w:rPr>
          <w:rFonts w:ascii="Arial" w:hAnsi="Arial" w:cs="Arial"/>
          <w:sz w:val="28"/>
          <w:szCs w:val="28"/>
        </w:rPr>
        <w:t>: Banking services provided to individual consumers rather than businesses. It includes services like savings accounts, personal loans, and credit cards.</w:t>
      </w:r>
    </w:p>
    <w:p w14:paraId="47AD2D13" w14:textId="4023D31A" w:rsidR="0074164E" w:rsidRPr="0008708A" w:rsidRDefault="0074164E" w:rsidP="0008708A">
      <w:pPr>
        <w:pStyle w:val="ListParagraph"/>
        <w:numPr>
          <w:ilvl w:val="0"/>
          <w:numId w:val="1"/>
        </w:numPr>
        <w:rPr>
          <w:rFonts w:ascii="Arial" w:hAnsi="Arial" w:cs="Arial"/>
          <w:sz w:val="28"/>
          <w:szCs w:val="28"/>
        </w:rPr>
      </w:pPr>
      <w:r w:rsidRPr="0008708A">
        <w:rPr>
          <w:rFonts w:ascii="Arial" w:hAnsi="Arial" w:cs="Arial"/>
          <w:b/>
          <w:bCs/>
          <w:sz w:val="28"/>
          <w:szCs w:val="28"/>
        </w:rPr>
        <w:t>Corporate Banking</w:t>
      </w:r>
      <w:r w:rsidRPr="0008708A">
        <w:rPr>
          <w:rFonts w:ascii="Arial" w:hAnsi="Arial" w:cs="Arial"/>
          <w:sz w:val="28"/>
          <w:szCs w:val="28"/>
        </w:rPr>
        <w:t>: Banking services provided to businesses and corporations. It includes services like business loans, treasury management, and trade finance.</w:t>
      </w:r>
    </w:p>
    <w:p w14:paraId="01A85AE8" w14:textId="4B6B3B2B" w:rsidR="0074164E" w:rsidRPr="0008708A" w:rsidRDefault="0074164E" w:rsidP="0074164E">
      <w:pPr>
        <w:rPr>
          <w:rFonts w:ascii="Arial" w:hAnsi="Arial" w:cs="Arial"/>
          <w:b/>
          <w:bCs/>
          <w:sz w:val="28"/>
          <w:szCs w:val="28"/>
        </w:rPr>
      </w:pPr>
      <w:r w:rsidRPr="0008708A">
        <w:rPr>
          <w:rFonts w:ascii="Arial" w:hAnsi="Arial" w:cs="Arial"/>
          <w:b/>
          <w:bCs/>
          <w:sz w:val="28"/>
          <w:szCs w:val="28"/>
        </w:rPr>
        <w:t>Graphs:</w:t>
      </w:r>
    </w:p>
    <w:p w14:paraId="43FDB14C" w14:textId="54D318B7" w:rsidR="0074164E" w:rsidRPr="0008708A" w:rsidRDefault="0074164E" w:rsidP="0074164E">
      <w:pPr>
        <w:rPr>
          <w:rFonts w:ascii="Arial" w:hAnsi="Arial" w:cs="Arial"/>
          <w:sz w:val="28"/>
          <w:szCs w:val="28"/>
        </w:rPr>
      </w:pPr>
      <w:r w:rsidRPr="0008708A">
        <w:rPr>
          <w:rFonts w:ascii="Arial" w:hAnsi="Arial" w:cs="Arial"/>
          <w:b/>
          <w:bCs/>
          <w:sz w:val="28"/>
          <w:szCs w:val="28"/>
        </w:rPr>
        <w:t xml:space="preserve">Graph 1.A: </w:t>
      </w:r>
      <w:r w:rsidRPr="0008708A">
        <w:rPr>
          <w:rFonts w:ascii="Arial" w:hAnsi="Arial" w:cs="Arial"/>
          <w:sz w:val="28"/>
          <w:szCs w:val="28"/>
        </w:rPr>
        <w:t>Stock Prices for Commercia</w:t>
      </w:r>
      <w:r w:rsidRPr="0008708A">
        <w:rPr>
          <w:rFonts w:ascii="Arial" w:hAnsi="Arial" w:cs="Arial"/>
          <w:sz w:val="28"/>
          <w:szCs w:val="28"/>
        </w:rPr>
        <w:t xml:space="preserve">l </w:t>
      </w:r>
      <w:r w:rsidRPr="0008708A">
        <w:rPr>
          <w:rFonts w:ascii="Arial" w:hAnsi="Arial" w:cs="Arial"/>
          <w:sz w:val="28"/>
          <w:szCs w:val="28"/>
        </w:rPr>
        <w:t>Banks</w:t>
      </w:r>
      <w:r w:rsidRPr="0008708A">
        <w:rPr>
          <w:rFonts w:ascii="Arial" w:hAnsi="Arial" w:cs="Arial"/>
          <w:sz w:val="28"/>
          <w:szCs w:val="28"/>
        </w:rPr>
        <w:t>:</w:t>
      </w:r>
    </w:p>
    <w:p w14:paraId="42780F8D" w14:textId="77777777" w:rsidR="0074164E" w:rsidRPr="0008708A" w:rsidRDefault="0074164E" w:rsidP="0074164E">
      <w:pPr>
        <w:rPr>
          <w:rFonts w:ascii="Arial" w:hAnsi="Arial" w:cs="Arial"/>
          <w:sz w:val="28"/>
          <w:szCs w:val="28"/>
        </w:rPr>
      </w:pPr>
      <w:r w:rsidRPr="0008708A">
        <w:rPr>
          <w:rFonts w:ascii="Arial" w:hAnsi="Arial" w:cs="Arial"/>
          <w:noProof/>
          <w:sz w:val="28"/>
          <w:szCs w:val="28"/>
        </w:rPr>
        <w:drawing>
          <wp:inline distT="0" distB="0" distL="0" distR="0" wp14:anchorId="368615F4" wp14:editId="65C01398">
            <wp:extent cx="5731510" cy="2959100"/>
            <wp:effectExtent l="0" t="0" r="2540" b="0"/>
            <wp:docPr id="57678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 b="74949"/>
                    <a:stretch/>
                  </pic:blipFill>
                  <pic:spPr bwMode="auto">
                    <a:xfrm>
                      <a:off x="0" y="0"/>
                      <a:ext cx="5731510" cy="2959100"/>
                    </a:xfrm>
                    <a:prstGeom prst="rect">
                      <a:avLst/>
                    </a:prstGeom>
                    <a:noFill/>
                    <a:ln>
                      <a:noFill/>
                    </a:ln>
                    <a:extLst>
                      <a:ext uri="{53640926-AAD7-44D8-BBD7-CCE9431645EC}">
                        <a14:shadowObscured xmlns:a14="http://schemas.microsoft.com/office/drawing/2010/main"/>
                      </a:ext>
                    </a:extLst>
                  </pic:spPr>
                </pic:pic>
              </a:graphicData>
            </a:graphic>
          </wp:inline>
        </w:drawing>
      </w:r>
      <w:r w:rsidRPr="0008708A">
        <w:rPr>
          <w:rFonts w:ascii="Arial" w:hAnsi="Arial" w:cs="Arial"/>
          <w:b/>
          <w:bCs/>
          <w:sz w:val="28"/>
          <w:szCs w:val="28"/>
        </w:rPr>
        <w:t>Inference</w:t>
      </w:r>
      <w:r w:rsidRPr="0008708A">
        <w:rPr>
          <w:rFonts w:ascii="Arial" w:hAnsi="Arial" w:cs="Arial"/>
          <w:sz w:val="28"/>
          <w:szCs w:val="28"/>
        </w:rPr>
        <w:t>:</w:t>
      </w:r>
    </w:p>
    <w:p w14:paraId="12F97BA0" w14:textId="77777777" w:rsidR="0074164E" w:rsidRPr="0074164E" w:rsidRDefault="0074164E" w:rsidP="0074164E">
      <w:pPr>
        <w:numPr>
          <w:ilvl w:val="0"/>
          <w:numId w:val="3"/>
        </w:numPr>
        <w:rPr>
          <w:rFonts w:ascii="Arial" w:hAnsi="Arial" w:cs="Arial"/>
          <w:sz w:val="28"/>
          <w:szCs w:val="28"/>
        </w:rPr>
      </w:pPr>
      <w:r w:rsidRPr="0074164E">
        <w:rPr>
          <w:rFonts w:ascii="Arial" w:hAnsi="Arial" w:cs="Arial"/>
          <w:b/>
          <w:bCs/>
          <w:sz w:val="28"/>
          <w:szCs w:val="28"/>
        </w:rPr>
        <w:t>Trends</w:t>
      </w:r>
      <w:r w:rsidRPr="0074164E">
        <w:rPr>
          <w:rFonts w:ascii="Arial" w:hAnsi="Arial" w:cs="Arial"/>
          <w:sz w:val="28"/>
          <w:szCs w:val="28"/>
        </w:rPr>
        <w:t>: You can observe the overall trend in stock prices for each bank. For instance, if the stock prices are generally increasing, it indicates positive market sentiment and potentially good financial health.</w:t>
      </w:r>
    </w:p>
    <w:p w14:paraId="08087615" w14:textId="77777777" w:rsidR="0074164E" w:rsidRPr="0074164E" w:rsidRDefault="0074164E" w:rsidP="0074164E">
      <w:pPr>
        <w:numPr>
          <w:ilvl w:val="0"/>
          <w:numId w:val="3"/>
        </w:numPr>
        <w:rPr>
          <w:rFonts w:ascii="Arial" w:hAnsi="Arial" w:cs="Arial"/>
          <w:sz w:val="28"/>
          <w:szCs w:val="28"/>
        </w:rPr>
      </w:pPr>
      <w:r w:rsidRPr="0074164E">
        <w:rPr>
          <w:rFonts w:ascii="Arial" w:hAnsi="Arial" w:cs="Arial"/>
          <w:b/>
          <w:bCs/>
          <w:sz w:val="28"/>
          <w:szCs w:val="28"/>
        </w:rPr>
        <w:t>Volatility</w:t>
      </w:r>
      <w:r w:rsidRPr="0074164E">
        <w:rPr>
          <w:rFonts w:ascii="Arial" w:hAnsi="Arial" w:cs="Arial"/>
          <w:sz w:val="28"/>
          <w:szCs w:val="28"/>
        </w:rPr>
        <w:t>: The fluctuations in the stock prices can give insights into the volatility of each bank's stock. Higher volatility might indicate higher risk.</w:t>
      </w:r>
    </w:p>
    <w:p w14:paraId="47A6A5A5" w14:textId="77777777" w:rsidR="0074164E" w:rsidRPr="0074164E" w:rsidRDefault="0074164E" w:rsidP="0074164E">
      <w:pPr>
        <w:numPr>
          <w:ilvl w:val="0"/>
          <w:numId w:val="3"/>
        </w:numPr>
        <w:rPr>
          <w:rFonts w:ascii="Arial" w:hAnsi="Arial" w:cs="Arial"/>
          <w:sz w:val="28"/>
          <w:szCs w:val="28"/>
        </w:rPr>
      </w:pPr>
      <w:r w:rsidRPr="0074164E">
        <w:rPr>
          <w:rFonts w:ascii="Arial" w:hAnsi="Arial" w:cs="Arial"/>
          <w:b/>
          <w:bCs/>
          <w:sz w:val="28"/>
          <w:szCs w:val="28"/>
        </w:rPr>
        <w:t>Comparative Performance</w:t>
      </w:r>
      <w:r w:rsidRPr="0074164E">
        <w:rPr>
          <w:rFonts w:ascii="Arial" w:hAnsi="Arial" w:cs="Arial"/>
          <w:sz w:val="28"/>
          <w:szCs w:val="28"/>
        </w:rPr>
        <w:t>: By comparing the stock prices of different banks, you can infer which banks have performed better or worse over the given period.</w:t>
      </w:r>
    </w:p>
    <w:p w14:paraId="5E48B4DE" w14:textId="264F7F31" w:rsidR="0074164E" w:rsidRPr="0008708A" w:rsidRDefault="0074164E" w:rsidP="0074164E">
      <w:pPr>
        <w:rPr>
          <w:rFonts w:ascii="Arial" w:hAnsi="Arial" w:cs="Arial"/>
          <w:sz w:val="28"/>
          <w:szCs w:val="28"/>
        </w:rPr>
      </w:pPr>
      <w:r w:rsidRPr="0008708A">
        <w:rPr>
          <w:rFonts w:ascii="Arial" w:hAnsi="Arial" w:cs="Arial"/>
          <w:b/>
          <w:bCs/>
          <w:sz w:val="28"/>
          <w:szCs w:val="28"/>
        </w:rPr>
        <w:lastRenderedPageBreak/>
        <w:t>Graph 1.</w:t>
      </w:r>
      <w:r w:rsidRPr="0008708A">
        <w:rPr>
          <w:rFonts w:ascii="Arial" w:hAnsi="Arial" w:cs="Arial"/>
          <w:b/>
          <w:bCs/>
          <w:sz w:val="28"/>
          <w:szCs w:val="28"/>
        </w:rPr>
        <w:t>B</w:t>
      </w:r>
      <w:r w:rsidRPr="0008708A">
        <w:rPr>
          <w:rFonts w:ascii="Arial" w:hAnsi="Arial" w:cs="Arial"/>
          <w:b/>
          <w:bCs/>
          <w:sz w:val="28"/>
          <w:szCs w:val="28"/>
        </w:rPr>
        <w:t xml:space="preserve">: </w:t>
      </w:r>
      <w:r w:rsidRPr="0008708A">
        <w:rPr>
          <w:rFonts w:ascii="Arial" w:hAnsi="Arial" w:cs="Arial"/>
          <w:sz w:val="28"/>
          <w:szCs w:val="28"/>
        </w:rPr>
        <w:t>Daily Returns for Commercial</w:t>
      </w:r>
      <w:r w:rsidRPr="0008708A">
        <w:rPr>
          <w:rFonts w:ascii="Arial" w:hAnsi="Arial" w:cs="Arial"/>
          <w:sz w:val="28"/>
          <w:szCs w:val="28"/>
        </w:rPr>
        <w:t xml:space="preserve"> </w:t>
      </w:r>
      <w:r w:rsidRPr="0008708A">
        <w:rPr>
          <w:rFonts w:ascii="Arial" w:hAnsi="Arial" w:cs="Arial"/>
          <w:sz w:val="28"/>
          <w:szCs w:val="28"/>
        </w:rPr>
        <w:t>Banks:</w:t>
      </w:r>
    </w:p>
    <w:p w14:paraId="3B7852EB" w14:textId="06E1EFA9" w:rsidR="00AB7E26" w:rsidRPr="00AB7E26" w:rsidRDefault="0074164E" w:rsidP="00AB7E26">
      <w:pPr>
        <w:rPr>
          <w:rFonts w:ascii="Arial" w:hAnsi="Arial" w:cs="Arial"/>
          <w:sz w:val="28"/>
          <w:szCs w:val="28"/>
        </w:rPr>
      </w:pPr>
      <w:r w:rsidRPr="0008708A">
        <w:rPr>
          <w:rFonts w:ascii="Arial" w:hAnsi="Arial" w:cs="Arial"/>
          <w:noProof/>
          <w:sz w:val="28"/>
          <w:szCs w:val="28"/>
        </w:rPr>
        <w:drawing>
          <wp:inline distT="0" distB="0" distL="0" distR="0" wp14:anchorId="3CC31ECB" wp14:editId="2143607D">
            <wp:extent cx="5731510" cy="2978150"/>
            <wp:effectExtent l="0" t="0" r="2540" b="0"/>
            <wp:docPr id="633532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49868" b="25236"/>
                    <a:stretch/>
                  </pic:blipFill>
                  <pic:spPr bwMode="auto">
                    <a:xfrm>
                      <a:off x="0" y="0"/>
                      <a:ext cx="5731510" cy="2978150"/>
                    </a:xfrm>
                    <a:prstGeom prst="rect">
                      <a:avLst/>
                    </a:prstGeom>
                    <a:noFill/>
                    <a:ln>
                      <a:noFill/>
                    </a:ln>
                    <a:extLst>
                      <a:ext uri="{53640926-AAD7-44D8-BBD7-CCE9431645EC}">
                        <a14:shadowObscured xmlns:a14="http://schemas.microsoft.com/office/drawing/2010/main"/>
                      </a:ext>
                    </a:extLst>
                  </pic:spPr>
                </pic:pic>
              </a:graphicData>
            </a:graphic>
          </wp:inline>
        </w:drawing>
      </w:r>
      <w:r w:rsidR="00AB7E26" w:rsidRPr="00AB7E26">
        <w:rPr>
          <w:rFonts w:ascii="Arial" w:hAnsi="Arial" w:cs="Arial"/>
          <w:b/>
          <w:bCs/>
          <w:sz w:val="28"/>
          <w:szCs w:val="28"/>
        </w:rPr>
        <w:t>Inference</w:t>
      </w:r>
      <w:r w:rsidR="00AB7E26" w:rsidRPr="00AB7E26">
        <w:rPr>
          <w:rFonts w:ascii="Arial" w:hAnsi="Arial" w:cs="Arial"/>
          <w:sz w:val="28"/>
          <w:szCs w:val="28"/>
        </w:rPr>
        <w:t>:</w:t>
      </w:r>
    </w:p>
    <w:p w14:paraId="1211C75B" w14:textId="77777777" w:rsidR="00AB7E26" w:rsidRPr="00AB7E26" w:rsidRDefault="00AB7E26" w:rsidP="00AB7E26">
      <w:pPr>
        <w:numPr>
          <w:ilvl w:val="0"/>
          <w:numId w:val="4"/>
        </w:numPr>
        <w:rPr>
          <w:rFonts w:ascii="Arial" w:hAnsi="Arial" w:cs="Arial"/>
          <w:sz w:val="28"/>
          <w:szCs w:val="28"/>
        </w:rPr>
      </w:pPr>
      <w:r w:rsidRPr="00AB7E26">
        <w:rPr>
          <w:rFonts w:ascii="Arial" w:hAnsi="Arial" w:cs="Arial"/>
          <w:b/>
          <w:bCs/>
          <w:sz w:val="28"/>
          <w:szCs w:val="28"/>
        </w:rPr>
        <w:t>Volatility</w:t>
      </w:r>
      <w:r w:rsidRPr="00AB7E26">
        <w:rPr>
          <w:rFonts w:ascii="Arial" w:hAnsi="Arial" w:cs="Arial"/>
          <w:sz w:val="28"/>
          <w:szCs w:val="28"/>
        </w:rPr>
        <w:t>: Daily returns can provide a clearer picture of the volatility of each bank's stock. Higher daily returns variability indicates higher risk.</w:t>
      </w:r>
    </w:p>
    <w:p w14:paraId="4F19BA8F" w14:textId="77777777" w:rsidR="00AB7E26" w:rsidRPr="00AB7E26" w:rsidRDefault="00AB7E26" w:rsidP="00AB7E26">
      <w:pPr>
        <w:numPr>
          <w:ilvl w:val="0"/>
          <w:numId w:val="4"/>
        </w:numPr>
        <w:rPr>
          <w:rFonts w:ascii="Arial" w:hAnsi="Arial" w:cs="Arial"/>
          <w:sz w:val="28"/>
          <w:szCs w:val="28"/>
        </w:rPr>
      </w:pPr>
      <w:r w:rsidRPr="00AB7E26">
        <w:rPr>
          <w:rFonts w:ascii="Arial" w:hAnsi="Arial" w:cs="Arial"/>
          <w:b/>
          <w:bCs/>
          <w:sz w:val="28"/>
          <w:szCs w:val="28"/>
        </w:rPr>
        <w:t>Market Reactions</w:t>
      </w:r>
      <w:r w:rsidRPr="00AB7E26">
        <w:rPr>
          <w:rFonts w:ascii="Arial" w:hAnsi="Arial" w:cs="Arial"/>
          <w:sz w:val="28"/>
          <w:szCs w:val="28"/>
        </w:rPr>
        <w:t>: Sudden spikes or drops in daily returns can indicate market reactions to specific events, such as earnings reports, regulatory changes, or economic news.</w:t>
      </w:r>
    </w:p>
    <w:p w14:paraId="773C1855" w14:textId="77777777" w:rsidR="00C63428" w:rsidRDefault="00C63428" w:rsidP="00AB7E26">
      <w:pPr>
        <w:rPr>
          <w:rFonts w:ascii="Arial" w:hAnsi="Arial" w:cs="Arial"/>
          <w:b/>
          <w:bCs/>
          <w:sz w:val="28"/>
          <w:szCs w:val="28"/>
        </w:rPr>
      </w:pPr>
    </w:p>
    <w:p w14:paraId="26C0B696" w14:textId="77777777" w:rsidR="00C63428" w:rsidRDefault="00C63428" w:rsidP="00AB7E26">
      <w:pPr>
        <w:rPr>
          <w:rFonts w:ascii="Arial" w:hAnsi="Arial" w:cs="Arial"/>
          <w:b/>
          <w:bCs/>
          <w:sz w:val="28"/>
          <w:szCs w:val="28"/>
        </w:rPr>
      </w:pPr>
    </w:p>
    <w:p w14:paraId="2F84C18C" w14:textId="77777777" w:rsidR="00C63428" w:rsidRDefault="00C63428" w:rsidP="00AB7E26">
      <w:pPr>
        <w:rPr>
          <w:rFonts w:ascii="Arial" w:hAnsi="Arial" w:cs="Arial"/>
          <w:b/>
          <w:bCs/>
          <w:sz w:val="28"/>
          <w:szCs w:val="28"/>
        </w:rPr>
      </w:pPr>
    </w:p>
    <w:p w14:paraId="4CDE8EFC" w14:textId="77777777" w:rsidR="00C63428" w:rsidRDefault="00C63428" w:rsidP="00AB7E26">
      <w:pPr>
        <w:rPr>
          <w:rFonts w:ascii="Arial" w:hAnsi="Arial" w:cs="Arial"/>
          <w:b/>
          <w:bCs/>
          <w:sz w:val="28"/>
          <w:szCs w:val="28"/>
        </w:rPr>
      </w:pPr>
    </w:p>
    <w:p w14:paraId="19D6605B" w14:textId="77777777" w:rsidR="00C63428" w:rsidRDefault="00C63428" w:rsidP="00AB7E26">
      <w:pPr>
        <w:rPr>
          <w:rFonts w:ascii="Arial" w:hAnsi="Arial" w:cs="Arial"/>
          <w:b/>
          <w:bCs/>
          <w:sz w:val="28"/>
          <w:szCs w:val="28"/>
        </w:rPr>
      </w:pPr>
    </w:p>
    <w:p w14:paraId="0EB5A8C2" w14:textId="77777777" w:rsidR="00C63428" w:rsidRDefault="00C63428" w:rsidP="00AB7E26">
      <w:pPr>
        <w:rPr>
          <w:rFonts w:ascii="Arial" w:hAnsi="Arial" w:cs="Arial"/>
          <w:b/>
          <w:bCs/>
          <w:sz w:val="28"/>
          <w:szCs w:val="28"/>
        </w:rPr>
      </w:pPr>
    </w:p>
    <w:p w14:paraId="2F786D7A" w14:textId="77777777" w:rsidR="00C63428" w:rsidRDefault="00C63428" w:rsidP="00AB7E26">
      <w:pPr>
        <w:rPr>
          <w:rFonts w:ascii="Arial" w:hAnsi="Arial" w:cs="Arial"/>
          <w:b/>
          <w:bCs/>
          <w:sz w:val="28"/>
          <w:szCs w:val="28"/>
        </w:rPr>
      </w:pPr>
    </w:p>
    <w:p w14:paraId="128C6711" w14:textId="77777777" w:rsidR="00C63428" w:rsidRDefault="00C63428" w:rsidP="00AB7E26">
      <w:pPr>
        <w:rPr>
          <w:rFonts w:ascii="Arial" w:hAnsi="Arial" w:cs="Arial"/>
          <w:b/>
          <w:bCs/>
          <w:sz w:val="28"/>
          <w:szCs w:val="28"/>
        </w:rPr>
      </w:pPr>
    </w:p>
    <w:p w14:paraId="433AC6E2" w14:textId="77777777" w:rsidR="00C63428" w:rsidRDefault="00C63428" w:rsidP="00AB7E26">
      <w:pPr>
        <w:rPr>
          <w:rFonts w:ascii="Arial" w:hAnsi="Arial" w:cs="Arial"/>
          <w:b/>
          <w:bCs/>
          <w:sz w:val="28"/>
          <w:szCs w:val="28"/>
        </w:rPr>
      </w:pPr>
    </w:p>
    <w:p w14:paraId="53FFA531" w14:textId="77777777" w:rsidR="00C63428" w:rsidRDefault="00C63428" w:rsidP="00AB7E26">
      <w:pPr>
        <w:rPr>
          <w:rFonts w:ascii="Arial" w:hAnsi="Arial" w:cs="Arial"/>
          <w:b/>
          <w:bCs/>
          <w:sz w:val="28"/>
          <w:szCs w:val="28"/>
        </w:rPr>
      </w:pPr>
    </w:p>
    <w:p w14:paraId="18940946" w14:textId="77777777" w:rsidR="00C63428" w:rsidRDefault="00C63428" w:rsidP="00AB7E26">
      <w:pPr>
        <w:rPr>
          <w:rFonts w:ascii="Arial" w:hAnsi="Arial" w:cs="Arial"/>
          <w:b/>
          <w:bCs/>
          <w:sz w:val="28"/>
          <w:szCs w:val="28"/>
        </w:rPr>
      </w:pPr>
    </w:p>
    <w:p w14:paraId="34E1165A" w14:textId="5E19A321" w:rsidR="00AB7E26" w:rsidRPr="00C63428" w:rsidRDefault="00AB7E26" w:rsidP="00AB7E26">
      <w:pPr>
        <w:rPr>
          <w:rFonts w:ascii="Arial" w:hAnsi="Arial" w:cs="Arial"/>
          <w:b/>
          <w:bCs/>
          <w:sz w:val="28"/>
          <w:szCs w:val="28"/>
        </w:rPr>
      </w:pPr>
      <w:r w:rsidRPr="0008708A">
        <w:rPr>
          <w:rFonts w:ascii="Arial" w:hAnsi="Arial" w:cs="Arial"/>
          <w:b/>
          <w:bCs/>
          <w:sz w:val="28"/>
          <w:szCs w:val="28"/>
        </w:rPr>
        <w:lastRenderedPageBreak/>
        <w:t>Graph 1.</w:t>
      </w:r>
      <w:r w:rsidRPr="0008708A">
        <w:rPr>
          <w:rFonts w:ascii="Arial" w:hAnsi="Arial" w:cs="Arial"/>
          <w:b/>
          <w:bCs/>
          <w:sz w:val="28"/>
          <w:szCs w:val="28"/>
        </w:rPr>
        <w:t>C</w:t>
      </w:r>
      <w:r w:rsidRPr="0008708A">
        <w:rPr>
          <w:rFonts w:ascii="Arial" w:hAnsi="Arial" w:cs="Arial"/>
          <w:b/>
          <w:bCs/>
          <w:sz w:val="28"/>
          <w:szCs w:val="28"/>
        </w:rPr>
        <w:t xml:space="preserve">: </w:t>
      </w:r>
      <w:r w:rsidRPr="0008708A">
        <w:rPr>
          <w:rFonts w:ascii="Arial" w:hAnsi="Arial" w:cs="Arial"/>
          <w:sz w:val="28"/>
          <w:szCs w:val="28"/>
        </w:rPr>
        <w:t>Moving Averages for Commercial</w:t>
      </w:r>
      <w:r w:rsidRPr="0008708A">
        <w:rPr>
          <w:rFonts w:ascii="Arial" w:hAnsi="Arial" w:cs="Arial"/>
          <w:sz w:val="28"/>
          <w:szCs w:val="28"/>
        </w:rPr>
        <w:t xml:space="preserve"> </w:t>
      </w:r>
      <w:r w:rsidRPr="0008708A">
        <w:rPr>
          <w:rFonts w:ascii="Arial" w:hAnsi="Arial" w:cs="Arial"/>
          <w:sz w:val="28"/>
          <w:szCs w:val="28"/>
        </w:rPr>
        <w:t>Banks:</w:t>
      </w:r>
    </w:p>
    <w:p w14:paraId="2FC3A72C" w14:textId="58A8EB2B" w:rsidR="00AB7E26" w:rsidRPr="00AB7E26" w:rsidRDefault="00AB7E26" w:rsidP="00AB7E26">
      <w:pPr>
        <w:rPr>
          <w:rFonts w:ascii="Arial" w:hAnsi="Arial" w:cs="Arial"/>
          <w:sz w:val="28"/>
          <w:szCs w:val="28"/>
        </w:rPr>
      </w:pPr>
      <w:r w:rsidRPr="0008708A">
        <w:rPr>
          <w:rFonts w:ascii="Arial" w:hAnsi="Arial" w:cs="Arial"/>
          <w:noProof/>
          <w:sz w:val="28"/>
          <w:szCs w:val="28"/>
        </w:rPr>
        <w:drawing>
          <wp:inline distT="0" distB="0" distL="0" distR="0" wp14:anchorId="1462B5A3" wp14:editId="3FFDA042">
            <wp:extent cx="5731510" cy="5086350"/>
            <wp:effectExtent l="0" t="0" r="2540" b="0"/>
            <wp:docPr id="92781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086350"/>
                    </a:xfrm>
                    <a:prstGeom prst="rect">
                      <a:avLst/>
                    </a:prstGeom>
                    <a:noFill/>
                    <a:ln>
                      <a:noFill/>
                    </a:ln>
                  </pic:spPr>
                </pic:pic>
              </a:graphicData>
            </a:graphic>
          </wp:inline>
        </w:drawing>
      </w:r>
      <w:r w:rsidRPr="00AB7E26">
        <w:rPr>
          <w:rFonts w:ascii="Arial" w:hAnsi="Arial" w:cs="Arial"/>
          <w:b/>
          <w:bCs/>
          <w:sz w:val="28"/>
          <w:szCs w:val="28"/>
        </w:rPr>
        <w:t>Inference</w:t>
      </w:r>
      <w:r w:rsidRPr="00AB7E26">
        <w:rPr>
          <w:rFonts w:ascii="Arial" w:hAnsi="Arial" w:cs="Arial"/>
          <w:sz w:val="28"/>
          <w:szCs w:val="28"/>
        </w:rPr>
        <w:t>:</w:t>
      </w:r>
    </w:p>
    <w:p w14:paraId="7FF108BD" w14:textId="77777777" w:rsidR="00AB7E26" w:rsidRPr="00AB7E26" w:rsidRDefault="00AB7E26" w:rsidP="00AB7E26">
      <w:pPr>
        <w:numPr>
          <w:ilvl w:val="0"/>
          <w:numId w:val="5"/>
        </w:numPr>
        <w:rPr>
          <w:rFonts w:ascii="Arial" w:hAnsi="Arial" w:cs="Arial"/>
          <w:sz w:val="28"/>
          <w:szCs w:val="28"/>
        </w:rPr>
      </w:pPr>
      <w:r w:rsidRPr="00AB7E26">
        <w:rPr>
          <w:rFonts w:ascii="Arial" w:hAnsi="Arial" w:cs="Arial"/>
          <w:b/>
          <w:bCs/>
          <w:sz w:val="28"/>
          <w:szCs w:val="28"/>
        </w:rPr>
        <w:t>Trend Identification</w:t>
      </w:r>
      <w:r w:rsidRPr="00AB7E26">
        <w:rPr>
          <w:rFonts w:ascii="Arial" w:hAnsi="Arial" w:cs="Arial"/>
          <w:sz w:val="28"/>
          <w:szCs w:val="28"/>
        </w:rPr>
        <w:t>: Moving averages help smooth out short-term fluctuations and highlight longer-term trends. If the 50-day MA is above the 200-day MA, it typically indicates an upward trend (bullish signal).</w:t>
      </w:r>
    </w:p>
    <w:p w14:paraId="5CE93EFB" w14:textId="77777777" w:rsidR="00AB7E26" w:rsidRPr="00AB7E26" w:rsidRDefault="00AB7E26" w:rsidP="00AB7E26">
      <w:pPr>
        <w:numPr>
          <w:ilvl w:val="0"/>
          <w:numId w:val="5"/>
        </w:numPr>
        <w:rPr>
          <w:rFonts w:ascii="Arial" w:hAnsi="Arial" w:cs="Arial"/>
          <w:sz w:val="28"/>
          <w:szCs w:val="28"/>
        </w:rPr>
      </w:pPr>
      <w:r w:rsidRPr="00AB7E26">
        <w:rPr>
          <w:rFonts w:ascii="Arial" w:hAnsi="Arial" w:cs="Arial"/>
          <w:b/>
          <w:bCs/>
          <w:sz w:val="28"/>
          <w:szCs w:val="28"/>
        </w:rPr>
        <w:t>Support and Resistance</w:t>
      </w:r>
      <w:r w:rsidRPr="00AB7E26">
        <w:rPr>
          <w:rFonts w:ascii="Arial" w:hAnsi="Arial" w:cs="Arial"/>
          <w:sz w:val="28"/>
          <w:szCs w:val="28"/>
        </w:rPr>
        <w:t>: Moving averages can act as support or resistance levels. Stock prices often bounce off these levels.</w:t>
      </w:r>
    </w:p>
    <w:p w14:paraId="7B221AFE" w14:textId="77777777" w:rsidR="00AB7E26" w:rsidRPr="00AB7E26" w:rsidRDefault="00AB7E26" w:rsidP="00AB7E26">
      <w:pPr>
        <w:numPr>
          <w:ilvl w:val="0"/>
          <w:numId w:val="5"/>
        </w:numPr>
        <w:rPr>
          <w:rFonts w:ascii="Arial" w:hAnsi="Arial" w:cs="Arial"/>
          <w:sz w:val="28"/>
          <w:szCs w:val="28"/>
        </w:rPr>
      </w:pPr>
      <w:r w:rsidRPr="00AB7E26">
        <w:rPr>
          <w:rFonts w:ascii="Arial" w:hAnsi="Arial" w:cs="Arial"/>
          <w:b/>
          <w:bCs/>
          <w:sz w:val="28"/>
          <w:szCs w:val="28"/>
        </w:rPr>
        <w:t>Crossovers</w:t>
      </w:r>
      <w:r w:rsidRPr="00AB7E26">
        <w:rPr>
          <w:rFonts w:ascii="Arial" w:hAnsi="Arial" w:cs="Arial"/>
          <w:sz w:val="28"/>
          <w:szCs w:val="28"/>
        </w:rPr>
        <w:t>: When the 50-day MA crosses above the 200-day MA (golden cross), it is considered a bullish signal. Conversely, when it crosses below (death cross), it is considered a bearish signal.</w:t>
      </w:r>
    </w:p>
    <w:p w14:paraId="2449A1EB" w14:textId="77777777" w:rsidR="00AB7E26" w:rsidRPr="0008708A" w:rsidRDefault="00AB7E26" w:rsidP="0074164E">
      <w:pPr>
        <w:rPr>
          <w:rFonts w:ascii="Arial" w:hAnsi="Arial" w:cs="Arial"/>
          <w:sz w:val="28"/>
          <w:szCs w:val="28"/>
        </w:rPr>
      </w:pPr>
    </w:p>
    <w:p w14:paraId="51800B78" w14:textId="77777777" w:rsidR="00893981" w:rsidRDefault="00893981" w:rsidP="0074164E">
      <w:pPr>
        <w:rPr>
          <w:rFonts w:ascii="Arial" w:hAnsi="Arial" w:cs="Arial"/>
          <w:b/>
          <w:bCs/>
          <w:sz w:val="28"/>
          <w:szCs w:val="28"/>
        </w:rPr>
      </w:pPr>
    </w:p>
    <w:p w14:paraId="59A7005A" w14:textId="5BAF5058" w:rsidR="0074164E" w:rsidRPr="0074164E" w:rsidRDefault="0074164E" w:rsidP="0074164E">
      <w:pPr>
        <w:rPr>
          <w:rFonts w:ascii="Arial" w:hAnsi="Arial" w:cs="Arial"/>
          <w:b/>
          <w:bCs/>
          <w:sz w:val="28"/>
          <w:szCs w:val="28"/>
        </w:rPr>
      </w:pPr>
      <w:r w:rsidRPr="0074164E">
        <w:rPr>
          <w:rFonts w:ascii="Arial" w:hAnsi="Arial" w:cs="Arial"/>
          <w:b/>
          <w:bCs/>
          <w:sz w:val="28"/>
          <w:szCs w:val="28"/>
        </w:rPr>
        <w:lastRenderedPageBreak/>
        <w:t>2. Investment Banking Operations</w:t>
      </w:r>
      <w:r w:rsidR="00AB7243">
        <w:rPr>
          <w:rFonts w:ascii="Arial" w:hAnsi="Arial" w:cs="Arial"/>
          <w:b/>
          <w:bCs/>
          <w:sz w:val="28"/>
          <w:szCs w:val="28"/>
        </w:rPr>
        <w:t>:</w:t>
      </w:r>
    </w:p>
    <w:p w14:paraId="76C55D5A" w14:textId="00FF6E43" w:rsidR="0074164E" w:rsidRPr="0074164E" w:rsidRDefault="0074164E" w:rsidP="0074164E">
      <w:pPr>
        <w:rPr>
          <w:rFonts w:ascii="Arial" w:hAnsi="Arial" w:cs="Arial"/>
          <w:b/>
          <w:bCs/>
          <w:sz w:val="28"/>
          <w:szCs w:val="28"/>
        </w:rPr>
      </w:pPr>
      <w:r w:rsidRPr="0074164E">
        <w:rPr>
          <w:rFonts w:ascii="Arial" w:hAnsi="Arial" w:cs="Arial"/>
          <w:b/>
          <w:bCs/>
          <w:sz w:val="28"/>
          <w:szCs w:val="28"/>
        </w:rPr>
        <w:t>Introduction</w:t>
      </w:r>
      <w:r w:rsidRPr="0008708A">
        <w:rPr>
          <w:rFonts w:ascii="Arial" w:hAnsi="Arial" w:cs="Arial"/>
          <w:b/>
          <w:bCs/>
          <w:sz w:val="28"/>
          <w:szCs w:val="28"/>
        </w:rPr>
        <w:t>:</w:t>
      </w:r>
      <w:r w:rsidRPr="0074164E">
        <w:rPr>
          <w:rFonts w:ascii="Arial" w:hAnsi="Arial" w:cs="Arial"/>
          <w:sz w:val="28"/>
          <w:szCs w:val="28"/>
        </w:rPr>
        <w:br/>
        <w:t>Investment banking involves providing financial services to corporations, governments, and other institutions. These services include underwriting new debt and equity securities, facilitating mergers and acquisitions (M&amp;A), providing advisory services, and managing investment portfolios. Investment banks play a vital role in capital markets by helping clients raise capital and navigate complex financial transactions.</w:t>
      </w:r>
      <w:r w:rsidRPr="0074164E">
        <w:rPr>
          <w:rFonts w:ascii="Arial" w:hAnsi="Arial" w:cs="Arial"/>
          <w:sz w:val="28"/>
          <w:szCs w:val="28"/>
        </w:rPr>
        <w:br/>
      </w:r>
      <w:r w:rsidRPr="0074164E">
        <w:rPr>
          <w:rFonts w:ascii="Arial" w:hAnsi="Arial" w:cs="Arial"/>
          <w:b/>
          <w:bCs/>
          <w:sz w:val="28"/>
          <w:szCs w:val="28"/>
        </w:rPr>
        <w:t>Basic Terminologies</w:t>
      </w:r>
      <w:r w:rsidRPr="0008708A">
        <w:rPr>
          <w:rFonts w:ascii="Arial" w:hAnsi="Arial" w:cs="Arial"/>
          <w:b/>
          <w:bCs/>
          <w:sz w:val="28"/>
          <w:szCs w:val="28"/>
        </w:rPr>
        <w:t>:</w:t>
      </w:r>
    </w:p>
    <w:p w14:paraId="0C9B2BAD"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Underwriting</w:t>
      </w:r>
      <w:r w:rsidRPr="0074164E">
        <w:rPr>
          <w:rFonts w:ascii="Arial" w:hAnsi="Arial" w:cs="Arial"/>
          <w:sz w:val="28"/>
          <w:szCs w:val="28"/>
        </w:rPr>
        <w:t>: The process by which investment banks raise capital for clients by issuing new securities. The bank buys the securities from the issuer and sells them to investors.</w:t>
      </w:r>
    </w:p>
    <w:p w14:paraId="37E74791"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Initial Public Offering (IPO)</w:t>
      </w:r>
      <w:r w:rsidRPr="0074164E">
        <w:rPr>
          <w:rFonts w:ascii="Arial" w:hAnsi="Arial" w:cs="Arial"/>
          <w:sz w:val="28"/>
          <w:szCs w:val="28"/>
        </w:rPr>
        <w:t>: The first sale of a company's shares to the public. Investment banks help companies go public by underwriting and marketing the IPO.</w:t>
      </w:r>
    </w:p>
    <w:p w14:paraId="3EB15699"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Mergers and Acquisitions (M&amp;A)</w:t>
      </w:r>
      <w:r w:rsidRPr="0074164E">
        <w:rPr>
          <w:rFonts w:ascii="Arial" w:hAnsi="Arial" w:cs="Arial"/>
          <w:sz w:val="28"/>
          <w:szCs w:val="28"/>
        </w:rPr>
        <w:t>: The process of consolidating companies or assets. Investment banks provide advisory services to clients involved in M&amp;A transactions.</w:t>
      </w:r>
    </w:p>
    <w:p w14:paraId="34540C04"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Equity Capital Markets (ECM)</w:t>
      </w:r>
      <w:r w:rsidRPr="0074164E">
        <w:rPr>
          <w:rFonts w:ascii="Arial" w:hAnsi="Arial" w:cs="Arial"/>
          <w:sz w:val="28"/>
          <w:szCs w:val="28"/>
        </w:rPr>
        <w:t>: The division of investment banking that deals with the issuance and trading of equity securities. It includes IPOs, follow-on offerings, and private placements.</w:t>
      </w:r>
    </w:p>
    <w:p w14:paraId="175DC687"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Debt Capital Markets (DCM)</w:t>
      </w:r>
      <w:r w:rsidRPr="0074164E">
        <w:rPr>
          <w:rFonts w:ascii="Arial" w:hAnsi="Arial" w:cs="Arial"/>
          <w:sz w:val="28"/>
          <w:szCs w:val="28"/>
        </w:rPr>
        <w:t>: The division of investment banking that deals with the issuance and trading of debt securities. It includes bonds, debentures, and other fixed-income instruments.</w:t>
      </w:r>
    </w:p>
    <w:p w14:paraId="0395F10E"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Securities</w:t>
      </w:r>
      <w:r w:rsidRPr="0074164E">
        <w:rPr>
          <w:rFonts w:ascii="Arial" w:hAnsi="Arial" w:cs="Arial"/>
          <w:sz w:val="28"/>
          <w:szCs w:val="28"/>
        </w:rPr>
        <w:t>: Financial instruments that represent ownership (equity) or a creditor relationship (debt) with an entity. Common securities include stocks and bonds.</w:t>
      </w:r>
    </w:p>
    <w:p w14:paraId="2A4D488E"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Leveraged Buyout (LBO)</w:t>
      </w:r>
      <w:r w:rsidRPr="0074164E">
        <w:rPr>
          <w:rFonts w:ascii="Arial" w:hAnsi="Arial" w:cs="Arial"/>
          <w:sz w:val="28"/>
          <w:szCs w:val="28"/>
        </w:rPr>
        <w:t>: The acquisition of a company using a significant amount of borrowed money (leverage) to meet the cost of acquisition. The assets of the acquired company are often used as collateral for the loans.</w:t>
      </w:r>
    </w:p>
    <w:p w14:paraId="71E53857"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Hedge Funds</w:t>
      </w:r>
      <w:r w:rsidRPr="0074164E">
        <w:rPr>
          <w:rFonts w:ascii="Arial" w:hAnsi="Arial" w:cs="Arial"/>
          <w:sz w:val="28"/>
          <w:szCs w:val="28"/>
        </w:rPr>
        <w:t>: Investment funds that employ various strategies to earn active returns for their investors. They often use leverage, derivatives, and short selling.</w:t>
      </w:r>
    </w:p>
    <w:p w14:paraId="01AF49C3"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lastRenderedPageBreak/>
        <w:t>Private Equity</w:t>
      </w:r>
      <w:r w:rsidRPr="0074164E">
        <w:rPr>
          <w:rFonts w:ascii="Arial" w:hAnsi="Arial" w:cs="Arial"/>
          <w:sz w:val="28"/>
          <w:szCs w:val="28"/>
        </w:rPr>
        <w:t>: Investment in private companies or buyouts of public companies that result in the delisting of public equity. Private equity firms raise funds from institutional and accredited investors.</w:t>
      </w:r>
    </w:p>
    <w:p w14:paraId="3CAD5D89"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Trading</w:t>
      </w:r>
      <w:r w:rsidRPr="0074164E">
        <w:rPr>
          <w:rFonts w:ascii="Arial" w:hAnsi="Arial" w:cs="Arial"/>
          <w:sz w:val="28"/>
          <w:szCs w:val="28"/>
        </w:rPr>
        <w:t>: The buying and selling of securities, commodities, or other financial instruments. Investment banks often have trading desks that engage in market-making and proprietary trading.</w:t>
      </w:r>
    </w:p>
    <w:p w14:paraId="61EA243E"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Advisory Services</w:t>
      </w:r>
      <w:r w:rsidRPr="0074164E">
        <w:rPr>
          <w:rFonts w:ascii="Arial" w:hAnsi="Arial" w:cs="Arial"/>
          <w:sz w:val="28"/>
          <w:szCs w:val="28"/>
        </w:rPr>
        <w:t>: Services provided by investment banks to help clients with financial planning, strategy, and transactions. This includes M&amp;A advisory, restructuring, and capital raising.</w:t>
      </w:r>
    </w:p>
    <w:p w14:paraId="6E7D3656" w14:textId="77777777" w:rsidR="0074164E" w:rsidRPr="0074164E" w:rsidRDefault="0074164E" w:rsidP="0074164E">
      <w:pPr>
        <w:numPr>
          <w:ilvl w:val="0"/>
          <w:numId w:val="2"/>
        </w:numPr>
        <w:rPr>
          <w:rFonts w:ascii="Arial" w:hAnsi="Arial" w:cs="Arial"/>
          <w:sz w:val="28"/>
          <w:szCs w:val="28"/>
        </w:rPr>
      </w:pPr>
      <w:r w:rsidRPr="0074164E">
        <w:rPr>
          <w:rFonts w:ascii="Arial" w:hAnsi="Arial" w:cs="Arial"/>
          <w:b/>
          <w:bCs/>
          <w:sz w:val="28"/>
          <w:szCs w:val="28"/>
        </w:rPr>
        <w:t>Asset Management</w:t>
      </w:r>
      <w:r w:rsidRPr="0074164E">
        <w:rPr>
          <w:rFonts w:ascii="Arial" w:hAnsi="Arial" w:cs="Arial"/>
          <w:sz w:val="28"/>
          <w:szCs w:val="28"/>
        </w:rPr>
        <w:t>: The management of investment portfolios on behalf of clients. Investment banks often have asset management divisions that offer mutual funds, pension funds, and other investment products.</w:t>
      </w:r>
    </w:p>
    <w:p w14:paraId="50FA703D" w14:textId="3297ED6F" w:rsidR="00AB7E26" w:rsidRPr="0008708A" w:rsidRDefault="00AB7E26" w:rsidP="00AB7E26">
      <w:pPr>
        <w:rPr>
          <w:rFonts w:ascii="Arial" w:hAnsi="Arial" w:cs="Arial"/>
          <w:b/>
          <w:bCs/>
          <w:sz w:val="28"/>
          <w:szCs w:val="28"/>
        </w:rPr>
      </w:pPr>
      <w:r w:rsidRPr="0008708A">
        <w:rPr>
          <w:rFonts w:ascii="Arial" w:hAnsi="Arial" w:cs="Arial"/>
          <w:b/>
          <w:bCs/>
          <w:sz w:val="28"/>
          <w:szCs w:val="28"/>
        </w:rPr>
        <w:t>Graphs:</w:t>
      </w:r>
    </w:p>
    <w:p w14:paraId="32B0BDBC" w14:textId="1AE35B83" w:rsidR="00AB7E26" w:rsidRPr="0008708A" w:rsidRDefault="00AB7E26" w:rsidP="00AB7E26">
      <w:pPr>
        <w:rPr>
          <w:rFonts w:ascii="Arial" w:hAnsi="Arial" w:cs="Arial"/>
          <w:sz w:val="28"/>
          <w:szCs w:val="28"/>
        </w:rPr>
      </w:pPr>
      <w:r w:rsidRPr="0008708A">
        <w:rPr>
          <w:rFonts w:ascii="Arial" w:hAnsi="Arial" w:cs="Arial"/>
          <w:b/>
          <w:bCs/>
          <w:sz w:val="28"/>
          <w:szCs w:val="28"/>
        </w:rPr>
        <w:t xml:space="preserve">Graph </w:t>
      </w:r>
      <w:r w:rsidRPr="0008708A">
        <w:rPr>
          <w:rFonts w:ascii="Arial" w:hAnsi="Arial" w:cs="Arial"/>
          <w:b/>
          <w:bCs/>
          <w:sz w:val="28"/>
          <w:szCs w:val="28"/>
        </w:rPr>
        <w:t>2</w:t>
      </w:r>
      <w:r w:rsidRPr="0008708A">
        <w:rPr>
          <w:rFonts w:ascii="Arial" w:hAnsi="Arial" w:cs="Arial"/>
          <w:b/>
          <w:bCs/>
          <w:sz w:val="28"/>
          <w:szCs w:val="28"/>
        </w:rPr>
        <w:t xml:space="preserve">.A: </w:t>
      </w:r>
      <w:r w:rsidRPr="0008708A">
        <w:rPr>
          <w:rFonts w:ascii="Arial" w:hAnsi="Arial" w:cs="Arial"/>
          <w:sz w:val="28"/>
          <w:szCs w:val="28"/>
        </w:rPr>
        <w:t>Stock Prices for</w:t>
      </w:r>
      <w:r w:rsidRPr="0008708A">
        <w:rPr>
          <w:rFonts w:ascii="Arial" w:hAnsi="Arial" w:cs="Arial"/>
          <w:sz w:val="28"/>
          <w:szCs w:val="28"/>
        </w:rPr>
        <w:t xml:space="preserve"> </w:t>
      </w:r>
      <w:r w:rsidRPr="0008708A">
        <w:rPr>
          <w:rFonts w:ascii="Arial" w:hAnsi="Arial" w:cs="Arial"/>
          <w:sz w:val="28"/>
          <w:szCs w:val="28"/>
        </w:rPr>
        <w:t>Investment Banks:</w:t>
      </w:r>
    </w:p>
    <w:p w14:paraId="5DAF6F46" w14:textId="2C6ED6C9" w:rsidR="00666730" w:rsidRPr="0008708A" w:rsidRDefault="003B53B2" w:rsidP="003B53B2">
      <w:pPr>
        <w:rPr>
          <w:rFonts w:ascii="Arial" w:hAnsi="Arial" w:cs="Arial"/>
          <w:sz w:val="28"/>
          <w:szCs w:val="28"/>
        </w:rPr>
      </w:pPr>
      <w:r w:rsidRPr="0008708A">
        <w:rPr>
          <w:rFonts w:ascii="Arial" w:hAnsi="Arial" w:cs="Arial"/>
          <w:noProof/>
          <w:sz w:val="28"/>
          <w:szCs w:val="28"/>
        </w:rPr>
        <w:drawing>
          <wp:inline distT="0" distB="0" distL="0" distR="0" wp14:anchorId="67019A4E" wp14:editId="489C3A21">
            <wp:extent cx="5731510" cy="3321050"/>
            <wp:effectExtent l="0" t="0" r="2540" b="0"/>
            <wp:docPr id="1851191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28A0092B-C50C-407E-A947-70E740481C1C}">
                          <a14:useLocalDpi xmlns:a14="http://schemas.microsoft.com/office/drawing/2010/main" val="0"/>
                        </a:ext>
                      </a:extLst>
                    </a:blip>
                    <a:srcRect t="24896" b="50209"/>
                    <a:stretch/>
                  </pic:blipFill>
                  <pic:spPr bwMode="auto">
                    <a:xfrm>
                      <a:off x="0" y="0"/>
                      <a:ext cx="5731510" cy="3321050"/>
                    </a:xfrm>
                    <a:prstGeom prst="rect">
                      <a:avLst/>
                    </a:prstGeom>
                    <a:noFill/>
                    <a:ln>
                      <a:noFill/>
                    </a:ln>
                    <a:extLst>
                      <a:ext uri="{53640926-AAD7-44D8-BBD7-CCE9431645EC}">
                        <a14:shadowObscured xmlns:a14="http://schemas.microsoft.com/office/drawing/2010/main"/>
                      </a:ext>
                    </a:extLst>
                  </pic:spPr>
                </pic:pic>
              </a:graphicData>
            </a:graphic>
          </wp:inline>
        </w:drawing>
      </w:r>
      <w:r w:rsidR="00666730" w:rsidRPr="0008708A">
        <w:rPr>
          <w:rFonts w:ascii="Arial" w:hAnsi="Arial" w:cs="Arial"/>
          <w:b/>
          <w:bCs/>
          <w:sz w:val="28"/>
          <w:szCs w:val="28"/>
        </w:rPr>
        <w:t>Inference</w:t>
      </w:r>
      <w:r w:rsidR="00666730" w:rsidRPr="0008708A">
        <w:rPr>
          <w:rFonts w:ascii="Arial" w:hAnsi="Arial" w:cs="Arial"/>
          <w:sz w:val="28"/>
          <w:szCs w:val="28"/>
        </w:rPr>
        <w:t>:</w:t>
      </w:r>
    </w:p>
    <w:p w14:paraId="2E4CAB2B" w14:textId="77777777" w:rsidR="00666730" w:rsidRPr="00666730" w:rsidRDefault="00666730" w:rsidP="00666730">
      <w:pPr>
        <w:numPr>
          <w:ilvl w:val="1"/>
          <w:numId w:val="7"/>
        </w:numPr>
        <w:rPr>
          <w:rFonts w:ascii="Arial" w:hAnsi="Arial" w:cs="Arial"/>
          <w:sz w:val="28"/>
          <w:szCs w:val="28"/>
        </w:rPr>
      </w:pPr>
      <w:r w:rsidRPr="00666730">
        <w:rPr>
          <w:rFonts w:ascii="Arial" w:hAnsi="Arial" w:cs="Arial"/>
          <w:b/>
          <w:bCs/>
          <w:sz w:val="28"/>
          <w:szCs w:val="28"/>
        </w:rPr>
        <w:t>Trends</w:t>
      </w:r>
      <w:r w:rsidRPr="00666730">
        <w:rPr>
          <w:rFonts w:ascii="Arial" w:hAnsi="Arial" w:cs="Arial"/>
          <w:sz w:val="28"/>
          <w:szCs w:val="28"/>
        </w:rPr>
        <w:t>: Similar to commercial banks, you can observe the overall trend in stock prices for each investment bank.</w:t>
      </w:r>
    </w:p>
    <w:p w14:paraId="4E4F6930" w14:textId="77777777" w:rsidR="00666730" w:rsidRPr="00666730" w:rsidRDefault="00666730" w:rsidP="00666730">
      <w:pPr>
        <w:numPr>
          <w:ilvl w:val="1"/>
          <w:numId w:val="7"/>
        </w:numPr>
        <w:rPr>
          <w:rFonts w:ascii="Arial" w:hAnsi="Arial" w:cs="Arial"/>
          <w:sz w:val="28"/>
          <w:szCs w:val="28"/>
        </w:rPr>
      </w:pPr>
      <w:r w:rsidRPr="00666730">
        <w:rPr>
          <w:rFonts w:ascii="Arial" w:hAnsi="Arial" w:cs="Arial"/>
          <w:b/>
          <w:bCs/>
          <w:sz w:val="28"/>
          <w:szCs w:val="28"/>
        </w:rPr>
        <w:t>Volatility</w:t>
      </w:r>
      <w:r w:rsidRPr="00666730">
        <w:rPr>
          <w:rFonts w:ascii="Arial" w:hAnsi="Arial" w:cs="Arial"/>
          <w:sz w:val="28"/>
          <w:szCs w:val="28"/>
        </w:rPr>
        <w:t>: The fluctuations in the stock prices can give insights into the volatility of each bank's stock.</w:t>
      </w:r>
    </w:p>
    <w:p w14:paraId="578324BD" w14:textId="77777777" w:rsidR="00666730" w:rsidRPr="00666730" w:rsidRDefault="00666730" w:rsidP="00666730">
      <w:pPr>
        <w:numPr>
          <w:ilvl w:val="1"/>
          <w:numId w:val="7"/>
        </w:numPr>
        <w:rPr>
          <w:rFonts w:ascii="Arial" w:hAnsi="Arial" w:cs="Arial"/>
          <w:sz w:val="28"/>
          <w:szCs w:val="28"/>
        </w:rPr>
      </w:pPr>
      <w:r w:rsidRPr="00666730">
        <w:rPr>
          <w:rFonts w:ascii="Arial" w:hAnsi="Arial" w:cs="Arial"/>
          <w:b/>
          <w:bCs/>
          <w:sz w:val="28"/>
          <w:szCs w:val="28"/>
        </w:rPr>
        <w:lastRenderedPageBreak/>
        <w:t>Comparative Performance</w:t>
      </w:r>
      <w:r w:rsidRPr="00666730">
        <w:rPr>
          <w:rFonts w:ascii="Arial" w:hAnsi="Arial" w:cs="Arial"/>
          <w:sz w:val="28"/>
          <w:szCs w:val="28"/>
        </w:rPr>
        <w:t>: By comparing the stock prices of different investment banks, you can infer which banks have performed better or worse over the given period.</w:t>
      </w:r>
    </w:p>
    <w:p w14:paraId="3C058607" w14:textId="3332ABD8" w:rsidR="00DB6815" w:rsidRPr="0008708A" w:rsidRDefault="00666730" w:rsidP="00666730">
      <w:pPr>
        <w:rPr>
          <w:rFonts w:ascii="Arial" w:hAnsi="Arial" w:cs="Arial"/>
          <w:sz w:val="28"/>
          <w:szCs w:val="28"/>
        </w:rPr>
      </w:pPr>
      <w:r w:rsidRPr="0008708A">
        <w:rPr>
          <w:rFonts w:ascii="Arial" w:hAnsi="Arial" w:cs="Arial"/>
          <w:b/>
          <w:bCs/>
          <w:sz w:val="28"/>
          <w:szCs w:val="28"/>
        </w:rPr>
        <w:t>Graph 2.</w:t>
      </w:r>
      <w:r w:rsidRPr="0008708A">
        <w:rPr>
          <w:rFonts w:ascii="Arial" w:hAnsi="Arial" w:cs="Arial"/>
          <w:b/>
          <w:bCs/>
          <w:sz w:val="28"/>
          <w:szCs w:val="28"/>
        </w:rPr>
        <w:t>B</w:t>
      </w:r>
      <w:r w:rsidRPr="0008708A">
        <w:rPr>
          <w:rFonts w:ascii="Arial" w:hAnsi="Arial" w:cs="Arial"/>
          <w:b/>
          <w:bCs/>
          <w:sz w:val="28"/>
          <w:szCs w:val="28"/>
        </w:rPr>
        <w:t>:</w:t>
      </w:r>
      <w:r w:rsidRPr="0008708A">
        <w:rPr>
          <w:rFonts w:ascii="Arial" w:hAnsi="Arial" w:cs="Arial"/>
          <w:sz w:val="28"/>
          <w:szCs w:val="28"/>
        </w:rPr>
        <w:t xml:space="preserve"> </w:t>
      </w:r>
      <w:r w:rsidRPr="0008708A">
        <w:rPr>
          <w:rFonts w:ascii="Arial" w:hAnsi="Arial" w:cs="Arial"/>
          <w:sz w:val="28"/>
          <w:szCs w:val="28"/>
        </w:rPr>
        <w:t>Daily Returns for</w:t>
      </w:r>
      <w:r w:rsidR="00DB6815" w:rsidRPr="0008708A">
        <w:rPr>
          <w:rFonts w:ascii="Arial" w:hAnsi="Arial" w:cs="Arial"/>
          <w:sz w:val="28"/>
          <w:szCs w:val="28"/>
        </w:rPr>
        <w:t xml:space="preserve"> </w:t>
      </w:r>
      <w:r w:rsidRPr="0008708A">
        <w:rPr>
          <w:rFonts w:ascii="Arial" w:hAnsi="Arial" w:cs="Arial"/>
          <w:sz w:val="28"/>
          <w:szCs w:val="28"/>
        </w:rPr>
        <w:t>Investment Banks:</w:t>
      </w:r>
    </w:p>
    <w:p w14:paraId="7470CE5A" w14:textId="030AA063" w:rsidR="003B53B2" w:rsidRPr="0008708A" w:rsidRDefault="00DB6815" w:rsidP="003B53B2">
      <w:pPr>
        <w:rPr>
          <w:rFonts w:ascii="Arial" w:hAnsi="Arial" w:cs="Arial"/>
          <w:sz w:val="28"/>
          <w:szCs w:val="28"/>
        </w:rPr>
      </w:pPr>
      <w:r w:rsidRPr="0008708A">
        <w:rPr>
          <w:rFonts w:ascii="Arial" w:hAnsi="Arial" w:cs="Arial"/>
          <w:noProof/>
          <w:sz w:val="28"/>
          <w:szCs w:val="28"/>
        </w:rPr>
        <w:drawing>
          <wp:inline distT="0" distB="0" distL="0" distR="0" wp14:anchorId="4C318DAB" wp14:editId="7D3B80BF">
            <wp:extent cx="5731510" cy="3289300"/>
            <wp:effectExtent l="0" t="0" r="2540" b="6350"/>
            <wp:docPr id="717770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
                      <a:extLst>
                        <a:ext uri="{28A0092B-C50C-407E-A947-70E740481C1C}">
                          <a14:useLocalDpi xmlns:a14="http://schemas.microsoft.com/office/drawing/2010/main" val="0"/>
                        </a:ext>
                      </a:extLst>
                    </a:blip>
                    <a:srcRect t="74687"/>
                    <a:stretch/>
                  </pic:blipFill>
                  <pic:spPr bwMode="auto">
                    <a:xfrm>
                      <a:off x="0" y="0"/>
                      <a:ext cx="5731510" cy="3289300"/>
                    </a:xfrm>
                    <a:prstGeom prst="rect">
                      <a:avLst/>
                    </a:prstGeom>
                    <a:noFill/>
                    <a:ln>
                      <a:noFill/>
                    </a:ln>
                    <a:extLst>
                      <a:ext uri="{53640926-AAD7-44D8-BBD7-CCE9431645EC}">
                        <a14:shadowObscured xmlns:a14="http://schemas.microsoft.com/office/drawing/2010/main"/>
                      </a:ext>
                    </a:extLst>
                  </pic:spPr>
                </pic:pic>
              </a:graphicData>
            </a:graphic>
          </wp:inline>
        </w:drawing>
      </w:r>
      <w:r w:rsidR="003B53B2" w:rsidRPr="0008708A">
        <w:rPr>
          <w:rFonts w:ascii="Arial" w:hAnsi="Arial" w:cs="Arial"/>
          <w:b/>
          <w:bCs/>
          <w:sz w:val="28"/>
          <w:szCs w:val="28"/>
        </w:rPr>
        <w:t>Inference</w:t>
      </w:r>
      <w:r w:rsidR="003B53B2" w:rsidRPr="0008708A">
        <w:rPr>
          <w:rFonts w:ascii="Arial" w:hAnsi="Arial" w:cs="Arial"/>
          <w:sz w:val="28"/>
          <w:szCs w:val="28"/>
        </w:rPr>
        <w:t>:</w:t>
      </w:r>
    </w:p>
    <w:p w14:paraId="26A93CA5" w14:textId="77777777" w:rsidR="003B53B2" w:rsidRPr="003B53B2" w:rsidRDefault="003B53B2" w:rsidP="003B53B2">
      <w:pPr>
        <w:numPr>
          <w:ilvl w:val="1"/>
          <w:numId w:val="8"/>
        </w:numPr>
        <w:rPr>
          <w:rFonts w:ascii="Arial" w:hAnsi="Arial" w:cs="Arial"/>
          <w:sz w:val="28"/>
          <w:szCs w:val="28"/>
        </w:rPr>
      </w:pPr>
      <w:r w:rsidRPr="003B53B2">
        <w:rPr>
          <w:rFonts w:ascii="Arial" w:hAnsi="Arial" w:cs="Arial"/>
          <w:b/>
          <w:bCs/>
          <w:sz w:val="28"/>
          <w:szCs w:val="28"/>
        </w:rPr>
        <w:t>Volatility</w:t>
      </w:r>
      <w:r w:rsidRPr="003B53B2">
        <w:rPr>
          <w:rFonts w:ascii="Arial" w:hAnsi="Arial" w:cs="Arial"/>
          <w:sz w:val="28"/>
          <w:szCs w:val="28"/>
        </w:rPr>
        <w:t>: Similar to commercial banks, daily returns can provide insights into the volatility of each investment bank's stock.</w:t>
      </w:r>
    </w:p>
    <w:p w14:paraId="458859C9" w14:textId="77777777" w:rsidR="003B53B2" w:rsidRPr="003B53B2" w:rsidRDefault="003B53B2" w:rsidP="003B53B2">
      <w:pPr>
        <w:numPr>
          <w:ilvl w:val="1"/>
          <w:numId w:val="8"/>
        </w:numPr>
        <w:rPr>
          <w:rFonts w:ascii="Arial" w:hAnsi="Arial" w:cs="Arial"/>
          <w:sz w:val="28"/>
          <w:szCs w:val="28"/>
        </w:rPr>
      </w:pPr>
      <w:r w:rsidRPr="003B53B2">
        <w:rPr>
          <w:rFonts w:ascii="Arial" w:hAnsi="Arial" w:cs="Arial"/>
          <w:b/>
          <w:bCs/>
          <w:sz w:val="28"/>
          <w:szCs w:val="28"/>
        </w:rPr>
        <w:t>Market Reactions</w:t>
      </w:r>
      <w:r w:rsidRPr="003B53B2">
        <w:rPr>
          <w:rFonts w:ascii="Arial" w:hAnsi="Arial" w:cs="Arial"/>
          <w:sz w:val="28"/>
          <w:szCs w:val="28"/>
        </w:rPr>
        <w:t>: Sudden spikes or drops in daily returns can indicate market reactions to specific events.</w:t>
      </w:r>
    </w:p>
    <w:p w14:paraId="37952DB9" w14:textId="77777777" w:rsidR="00C63428" w:rsidRDefault="00C63428" w:rsidP="003B53B2">
      <w:pPr>
        <w:rPr>
          <w:rFonts w:ascii="Arial" w:hAnsi="Arial" w:cs="Arial"/>
          <w:b/>
          <w:bCs/>
          <w:sz w:val="28"/>
          <w:szCs w:val="28"/>
        </w:rPr>
      </w:pPr>
    </w:p>
    <w:p w14:paraId="55F4D12E" w14:textId="77777777" w:rsidR="00C63428" w:rsidRDefault="00C63428" w:rsidP="003B53B2">
      <w:pPr>
        <w:rPr>
          <w:rFonts w:ascii="Arial" w:hAnsi="Arial" w:cs="Arial"/>
          <w:b/>
          <w:bCs/>
          <w:sz w:val="28"/>
          <w:szCs w:val="28"/>
        </w:rPr>
      </w:pPr>
    </w:p>
    <w:p w14:paraId="0B49036A" w14:textId="77777777" w:rsidR="00C63428" w:rsidRDefault="00C63428" w:rsidP="003B53B2">
      <w:pPr>
        <w:rPr>
          <w:rFonts w:ascii="Arial" w:hAnsi="Arial" w:cs="Arial"/>
          <w:b/>
          <w:bCs/>
          <w:sz w:val="28"/>
          <w:szCs w:val="28"/>
        </w:rPr>
      </w:pPr>
    </w:p>
    <w:p w14:paraId="32FDD411" w14:textId="77777777" w:rsidR="00C63428" w:rsidRDefault="00C63428" w:rsidP="003B53B2">
      <w:pPr>
        <w:rPr>
          <w:rFonts w:ascii="Arial" w:hAnsi="Arial" w:cs="Arial"/>
          <w:b/>
          <w:bCs/>
          <w:sz w:val="28"/>
          <w:szCs w:val="28"/>
        </w:rPr>
      </w:pPr>
    </w:p>
    <w:p w14:paraId="4FDE980F" w14:textId="77777777" w:rsidR="00C63428" w:rsidRDefault="00C63428" w:rsidP="003B53B2">
      <w:pPr>
        <w:rPr>
          <w:rFonts w:ascii="Arial" w:hAnsi="Arial" w:cs="Arial"/>
          <w:b/>
          <w:bCs/>
          <w:sz w:val="28"/>
          <w:szCs w:val="28"/>
        </w:rPr>
      </w:pPr>
    </w:p>
    <w:p w14:paraId="25076A5D" w14:textId="77777777" w:rsidR="00C63428" w:rsidRDefault="00C63428" w:rsidP="003B53B2">
      <w:pPr>
        <w:rPr>
          <w:rFonts w:ascii="Arial" w:hAnsi="Arial" w:cs="Arial"/>
          <w:b/>
          <w:bCs/>
          <w:sz w:val="28"/>
          <w:szCs w:val="28"/>
        </w:rPr>
      </w:pPr>
    </w:p>
    <w:p w14:paraId="0AAB45C6" w14:textId="77777777" w:rsidR="00C63428" w:rsidRDefault="00C63428" w:rsidP="003B53B2">
      <w:pPr>
        <w:rPr>
          <w:rFonts w:ascii="Arial" w:hAnsi="Arial" w:cs="Arial"/>
          <w:b/>
          <w:bCs/>
          <w:sz w:val="28"/>
          <w:szCs w:val="28"/>
        </w:rPr>
      </w:pPr>
    </w:p>
    <w:p w14:paraId="10DCD944" w14:textId="77777777" w:rsidR="00C63428" w:rsidRDefault="00C63428" w:rsidP="003B53B2">
      <w:pPr>
        <w:rPr>
          <w:rFonts w:ascii="Arial" w:hAnsi="Arial" w:cs="Arial"/>
          <w:b/>
          <w:bCs/>
          <w:sz w:val="28"/>
          <w:szCs w:val="28"/>
        </w:rPr>
      </w:pPr>
    </w:p>
    <w:p w14:paraId="7888BC98" w14:textId="77777777" w:rsidR="00C63428" w:rsidRDefault="00C63428" w:rsidP="003B53B2">
      <w:pPr>
        <w:rPr>
          <w:rFonts w:ascii="Arial" w:hAnsi="Arial" w:cs="Arial"/>
          <w:b/>
          <w:bCs/>
          <w:sz w:val="28"/>
          <w:szCs w:val="28"/>
        </w:rPr>
      </w:pPr>
    </w:p>
    <w:p w14:paraId="02BC6C21" w14:textId="6BBE2470" w:rsidR="003B53B2" w:rsidRPr="0008708A" w:rsidRDefault="003B53B2" w:rsidP="003B53B2">
      <w:pPr>
        <w:rPr>
          <w:rFonts w:ascii="Arial" w:hAnsi="Arial" w:cs="Arial"/>
          <w:sz w:val="28"/>
          <w:szCs w:val="28"/>
        </w:rPr>
      </w:pPr>
      <w:r w:rsidRPr="0008708A">
        <w:rPr>
          <w:rFonts w:ascii="Arial" w:hAnsi="Arial" w:cs="Arial"/>
          <w:b/>
          <w:bCs/>
          <w:sz w:val="28"/>
          <w:szCs w:val="28"/>
        </w:rPr>
        <w:lastRenderedPageBreak/>
        <w:t>Graph 2.</w:t>
      </w:r>
      <w:r w:rsidRPr="0008708A">
        <w:rPr>
          <w:rFonts w:ascii="Arial" w:hAnsi="Arial" w:cs="Arial"/>
          <w:b/>
          <w:bCs/>
          <w:sz w:val="28"/>
          <w:szCs w:val="28"/>
        </w:rPr>
        <w:t>C</w:t>
      </w:r>
      <w:r w:rsidRPr="0008708A">
        <w:rPr>
          <w:rFonts w:ascii="Arial" w:hAnsi="Arial" w:cs="Arial"/>
          <w:b/>
          <w:bCs/>
          <w:sz w:val="28"/>
          <w:szCs w:val="28"/>
        </w:rPr>
        <w:t>:</w:t>
      </w:r>
      <w:r w:rsidRPr="0008708A">
        <w:rPr>
          <w:rFonts w:ascii="Arial" w:hAnsi="Arial" w:cs="Arial"/>
          <w:sz w:val="28"/>
          <w:szCs w:val="28"/>
        </w:rPr>
        <w:t xml:space="preserve"> Moving Averages for Investment Banks:</w:t>
      </w:r>
    </w:p>
    <w:p w14:paraId="47F1433A" w14:textId="754701C9" w:rsidR="003B53B2" w:rsidRPr="003B53B2" w:rsidRDefault="003B53B2" w:rsidP="003B53B2">
      <w:pPr>
        <w:rPr>
          <w:rFonts w:ascii="Arial" w:hAnsi="Arial" w:cs="Arial"/>
          <w:sz w:val="28"/>
          <w:szCs w:val="28"/>
        </w:rPr>
      </w:pPr>
      <w:r w:rsidRPr="0008708A">
        <w:rPr>
          <w:rFonts w:ascii="Arial" w:hAnsi="Arial" w:cs="Arial"/>
          <w:noProof/>
          <w:sz w:val="28"/>
          <w:szCs w:val="28"/>
        </w:rPr>
        <w:drawing>
          <wp:inline distT="0" distB="0" distL="0" distR="0" wp14:anchorId="58E63509" wp14:editId="5ACB1C58">
            <wp:extent cx="5731510" cy="4902200"/>
            <wp:effectExtent l="0" t="0" r="2540" b="0"/>
            <wp:docPr id="2074022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902200"/>
                    </a:xfrm>
                    <a:prstGeom prst="rect">
                      <a:avLst/>
                    </a:prstGeom>
                    <a:noFill/>
                    <a:ln>
                      <a:noFill/>
                    </a:ln>
                  </pic:spPr>
                </pic:pic>
              </a:graphicData>
            </a:graphic>
          </wp:inline>
        </w:drawing>
      </w:r>
      <w:r w:rsidRPr="003B53B2">
        <w:rPr>
          <w:rFonts w:ascii="Arial" w:hAnsi="Arial" w:cs="Arial"/>
          <w:b/>
          <w:bCs/>
          <w:sz w:val="28"/>
          <w:szCs w:val="28"/>
        </w:rPr>
        <w:t>Inference</w:t>
      </w:r>
      <w:r w:rsidRPr="003B53B2">
        <w:rPr>
          <w:rFonts w:ascii="Arial" w:hAnsi="Arial" w:cs="Arial"/>
          <w:sz w:val="28"/>
          <w:szCs w:val="28"/>
        </w:rPr>
        <w:t>:</w:t>
      </w:r>
    </w:p>
    <w:p w14:paraId="0DACDBC5" w14:textId="77777777" w:rsidR="003B53B2" w:rsidRPr="003B53B2" w:rsidRDefault="003B53B2" w:rsidP="003B53B2">
      <w:pPr>
        <w:numPr>
          <w:ilvl w:val="1"/>
          <w:numId w:val="9"/>
        </w:numPr>
        <w:rPr>
          <w:rFonts w:ascii="Arial" w:hAnsi="Arial" w:cs="Arial"/>
          <w:sz w:val="28"/>
          <w:szCs w:val="28"/>
        </w:rPr>
      </w:pPr>
      <w:r w:rsidRPr="003B53B2">
        <w:rPr>
          <w:rFonts w:ascii="Arial" w:hAnsi="Arial" w:cs="Arial"/>
          <w:b/>
          <w:bCs/>
          <w:sz w:val="28"/>
          <w:szCs w:val="28"/>
        </w:rPr>
        <w:t>Trend Identification</w:t>
      </w:r>
      <w:r w:rsidRPr="003B53B2">
        <w:rPr>
          <w:rFonts w:ascii="Arial" w:hAnsi="Arial" w:cs="Arial"/>
          <w:sz w:val="28"/>
          <w:szCs w:val="28"/>
        </w:rPr>
        <w:t>: Similar to commercial banks, moving averages help identify longer-term trends for investment banks.</w:t>
      </w:r>
    </w:p>
    <w:p w14:paraId="3B77C3EC" w14:textId="77777777" w:rsidR="003B53B2" w:rsidRPr="003B53B2" w:rsidRDefault="003B53B2" w:rsidP="003B53B2">
      <w:pPr>
        <w:numPr>
          <w:ilvl w:val="1"/>
          <w:numId w:val="9"/>
        </w:numPr>
        <w:rPr>
          <w:rFonts w:ascii="Arial" w:hAnsi="Arial" w:cs="Arial"/>
          <w:sz w:val="28"/>
          <w:szCs w:val="28"/>
        </w:rPr>
      </w:pPr>
      <w:r w:rsidRPr="003B53B2">
        <w:rPr>
          <w:rFonts w:ascii="Arial" w:hAnsi="Arial" w:cs="Arial"/>
          <w:b/>
          <w:bCs/>
          <w:sz w:val="28"/>
          <w:szCs w:val="28"/>
        </w:rPr>
        <w:t>Support and Resistance</w:t>
      </w:r>
      <w:r w:rsidRPr="003B53B2">
        <w:rPr>
          <w:rFonts w:ascii="Arial" w:hAnsi="Arial" w:cs="Arial"/>
          <w:sz w:val="28"/>
          <w:szCs w:val="28"/>
        </w:rPr>
        <w:t>: Moving averages can act as support or resistance levels.</w:t>
      </w:r>
    </w:p>
    <w:p w14:paraId="7CA406C7" w14:textId="77777777" w:rsidR="003B53B2" w:rsidRPr="003B53B2" w:rsidRDefault="003B53B2" w:rsidP="003B53B2">
      <w:pPr>
        <w:numPr>
          <w:ilvl w:val="1"/>
          <w:numId w:val="9"/>
        </w:numPr>
        <w:rPr>
          <w:rFonts w:ascii="Arial" w:hAnsi="Arial" w:cs="Arial"/>
          <w:sz w:val="28"/>
          <w:szCs w:val="28"/>
        </w:rPr>
      </w:pPr>
      <w:r w:rsidRPr="003B53B2">
        <w:rPr>
          <w:rFonts w:ascii="Arial" w:hAnsi="Arial" w:cs="Arial"/>
          <w:b/>
          <w:bCs/>
          <w:sz w:val="28"/>
          <w:szCs w:val="28"/>
        </w:rPr>
        <w:t>Crossovers</w:t>
      </w:r>
      <w:r w:rsidRPr="003B53B2">
        <w:rPr>
          <w:rFonts w:ascii="Arial" w:hAnsi="Arial" w:cs="Arial"/>
          <w:sz w:val="28"/>
          <w:szCs w:val="28"/>
        </w:rPr>
        <w:t>: Golden crosses and death crosses can provide buy or sell signals.</w:t>
      </w:r>
    </w:p>
    <w:p w14:paraId="40A28F31" w14:textId="77777777" w:rsidR="003B53B2" w:rsidRPr="0008708A" w:rsidRDefault="003B53B2">
      <w:pPr>
        <w:rPr>
          <w:rFonts w:ascii="Arial" w:hAnsi="Arial" w:cs="Arial"/>
          <w:sz w:val="28"/>
          <w:szCs w:val="28"/>
        </w:rPr>
      </w:pPr>
    </w:p>
    <w:p w14:paraId="63B1A94C" w14:textId="77777777" w:rsidR="0008708A" w:rsidRPr="0008708A" w:rsidRDefault="0008708A">
      <w:pPr>
        <w:rPr>
          <w:rFonts w:ascii="Arial" w:hAnsi="Arial" w:cs="Arial"/>
          <w:sz w:val="28"/>
          <w:szCs w:val="28"/>
        </w:rPr>
      </w:pPr>
    </w:p>
    <w:p w14:paraId="17A0D4E3" w14:textId="77777777" w:rsidR="0008708A" w:rsidRPr="0008708A" w:rsidRDefault="0008708A">
      <w:pPr>
        <w:rPr>
          <w:rFonts w:ascii="Arial" w:hAnsi="Arial" w:cs="Arial"/>
          <w:sz w:val="28"/>
          <w:szCs w:val="28"/>
        </w:rPr>
      </w:pPr>
    </w:p>
    <w:p w14:paraId="62547D74" w14:textId="77777777" w:rsidR="00C63428" w:rsidRDefault="00C63428">
      <w:pPr>
        <w:rPr>
          <w:rFonts w:ascii="Arial" w:hAnsi="Arial" w:cs="Arial"/>
          <w:sz w:val="28"/>
          <w:szCs w:val="28"/>
        </w:rPr>
      </w:pPr>
    </w:p>
    <w:p w14:paraId="0E861F41" w14:textId="1240FDC7" w:rsidR="0008708A" w:rsidRPr="0008708A" w:rsidRDefault="0008708A">
      <w:pPr>
        <w:rPr>
          <w:rFonts w:ascii="Arial" w:hAnsi="Arial" w:cs="Arial"/>
          <w:b/>
          <w:bCs/>
          <w:sz w:val="28"/>
          <w:szCs w:val="28"/>
        </w:rPr>
      </w:pPr>
      <w:r w:rsidRPr="0008708A">
        <w:rPr>
          <w:rFonts w:ascii="Arial" w:hAnsi="Arial" w:cs="Arial"/>
          <w:b/>
          <w:bCs/>
          <w:sz w:val="28"/>
          <w:szCs w:val="28"/>
        </w:rPr>
        <w:lastRenderedPageBreak/>
        <w:t>Conclusion</w:t>
      </w:r>
      <w:r w:rsidRPr="0008708A">
        <w:rPr>
          <w:rFonts w:ascii="Arial" w:hAnsi="Arial" w:cs="Arial"/>
          <w:b/>
          <w:bCs/>
          <w:sz w:val="28"/>
          <w:szCs w:val="28"/>
        </w:rPr>
        <w:t>:</w:t>
      </w:r>
    </w:p>
    <w:p w14:paraId="5348B25F" w14:textId="6A9B03D3" w:rsidR="0008708A" w:rsidRPr="0008708A" w:rsidRDefault="0008708A">
      <w:pPr>
        <w:rPr>
          <w:rFonts w:ascii="Arial" w:hAnsi="Arial" w:cs="Arial"/>
          <w:sz w:val="28"/>
          <w:szCs w:val="28"/>
        </w:rPr>
      </w:pPr>
      <w:r w:rsidRPr="0008708A">
        <w:rPr>
          <w:rFonts w:ascii="Arial" w:hAnsi="Arial" w:cs="Arial"/>
          <w:color w:val="111827"/>
          <w:sz w:val="28"/>
          <w:szCs w:val="28"/>
          <w:shd w:val="clear" w:color="auto" w:fill="FFFFFF"/>
        </w:rPr>
        <w:t xml:space="preserve">The US banking sector, encompassing both commercial and investment banking operations, is crucial for financial stability and economic growth. Commercial banks provide essential services like deposits, loans, and financial products to individuals and businesses, facilitating everyday transactions and supporting economic activities. Investment banks play a key role in capital formation, corporate restructuring, and financial advisory services, assisting clients with raising capital, mergers and acquisitions, and strategic advice. Together, these banks support economic growth and market stability. </w:t>
      </w:r>
      <w:r w:rsidRPr="0008708A">
        <w:rPr>
          <w:rFonts w:ascii="Arial" w:hAnsi="Arial" w:cs="Arial"/>
          <w:color w:val="111827"/>
          <w:sz w:val="28"/>
          <w:szCs w:val="28"/>
          <w:shd w:val="clear" w:color="auto" w:fill="FFFFFF"/>
        </w:rPr>
        <w:t>Analysing</w:t>
      </w:r>
      <w:r w:rsidRPr="0008708A">
        <w:rPr>
          <w:rFonts w:ascii="Arial" w:hAnsi="Arial" w:cs="Arial"/>
          <w:color w:val="111827"/>
          <w:sz w:val="28"/>
          <w:szCs w:val="28"/>
          <w:shd w:val="clear" w:color="auto" w:fill="FFFFFF"/>
        </w:rPr>
        <w:t xml:space="preserve"> their performance and trends offers valuable insights into the sector's health and its broader economic impact, highlighting the importance of continuous monitoring and analysis for sustainable development.</w:t>
      </w:r>
    </w:p>
    <w:sectPr w:rsidR="0008708A" w:rsidRPr="0008708A" w:rsidSect="00C2293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27FB7"/>
    <w:multiLevelType w:val="multilevel"/>
    <w:tmpl w:val="A94C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E04AE6"/>
    <w:multiLevelType w:val="multilevel"/>
    <w:tmpl w:val="1AE8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552549"/>
    <w:multiLevelType w:val="multilevel"/>
    <w:tmpl w:val="3F54CD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256F4"/>
    <w:multiLevelType w:val="multilevel"/>
    <w:tmpl w:val="2DCE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AF4A3C"/>
    <w:multiLevelType w:val="multilevel"/>
    <w:tmpl w:val="434C1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FE6A31"/>
    <w:multiLevelType w:val="multilevel"/>
    <w:tmpl w:val="3C56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9C367E"/>
    <w:multiLevelType w:val="multilevel"/>
    <w:tmpl w:val="8536D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907962"/>
    <w:multiLevelType w:val="multilevel"/>
    <w:tmpl w:val="E6F2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077E2F"/>
    <w:multiLevelType w:val="multilevel"/>
    <w:tmpl w:val="55646F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486260">
    <w:abstractNumId w:val="7"/>
  </w:num>
  <w:num w:numId="2" w16cid:durableId="1917785131">
    <w:abstractNumId w:val="0"/>
  </w:num>
  <w:num w:numId="3" w16cid:durableId="1403289275">
    <w:abstractNumId w:val="5"/>
  </w:num>
  <w:num w:numId="4" w16cid:durableId="276449557">
    <w:abstractNumId w:val="1"/>
  </w:num>
  <w:num w:numId="5" w16cid:durableId="1026369186">
    <w:abstractNumId w:val="3"/>
  </w:num>
  <w:num w:numId="6" w16cid:durableId="1825468175">
    <w:abstractNumId w:val="4"/>
  </w:num>
  <w:num w:numId="7" w16cid:durableId="1900483424">
    <w:abstractNumId w:val="2"/>
  </w:num>
  <w:num w:numId="8" w16cid:durableId="1450933813">
    <w:abstractNumId w:val="6"/>
  </w:num>
  <w:num w:numId="9" w16cid:durableId="15497985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64E"/>
    <w:rsid w:val="00026FAF"/>
    <w:rsid w:val="0008708A"/>
    <w:rsid w:val="003B53B2"/>
    <w:rsid w:val="00666730"/>
    <w:rsid w:val="0074164E"/>
    <w:rsid w:val="00882062"/>
    <w:rsid w:val="00893981"/>
    <w:rsid w:val="00AB7243"/>
    <w:rsid w:val="00AB7E26"/>
    <w:rsid w:val="00B212C1"/>
    <w:rsid w:val="00C2293A"/>
    <w:rsid w:val="00C63428"/>
    <w:rsid w:val="00CA1B7C"/>
    <w:rsid w:val="00D16341"/>
    <w:rsid w:val="00DB681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EC6F"/>
  <w15:chartTrackingRefBased/>
  <w15:docId w15:val="{E7EE4F1F-52DF-4F7E-A622-A078B7266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6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528308">
      <w:bodyDiv w:val="1"/>
      <w:marLeft w:val="0"/>
      <w:marRight w:val="0"/>
      <w:marTop w:val="0"/>
      <w:marBottom w:val="0"/>
      <w:divBdr>
        <w:top w:val="none" w:sz="0" w:space="0" w:color="auto"/>
        <w:left w:val="none" w:sz="0" w:space="0" w:color="auto"/>
        <w:bottom w:val="none" w:sz="0" w:space="0" w:color="auto"/>
        <w:right w:val="none" w:sz="0" w:space="0" w:color="auto"/>
      </w:divBdr>
    </w:div>
    <w:div w:id="149955202">
      <w:bodyDiv w:val="1"/>
      <w:marLeft w:val="0"/>
      <w:marRight w:val="0"/>
      <w:marTop w:val="0"/>
      <w:marBottom w:val="0"/>
      <w:divBdr>
        <w:top w:val="none" w:sz="0" w:space="0" w:color="auto"/>
        <w:left w:val="none" w:sz="0" w:space="0" w:color="auto"/>
        <w:bottom w:val="none" w:sz="0" w:space="0" w:color="auto"/>
        <w:right w:val="none" w:sz="0" w:space="0" w:color="auto"/>
      </w:divBdr>
    </w:div>
    <w:div w:id="204606548">
      <w:bodyDiv w:val="1"/>
      <w:marLeft w:val="0"/>
      <w:marRight w:val="0"/>
      <w:marTop w:val="0"/>
      <w:marBottom w:val="0"/>
      <w:divBdr>
        <w:top w:val="none" w:sz="0" w:space="0" w:color="auto"/>
        <w:left w:val="none" w:sz="0" w:space="0" w:color="auto"/>
        <w:bottom w:val="none" w:sz="0" w:space="0" w:color="auto"/>
        <w:right w:val="none" w:sz="0" w:space="0" w:color="auto"/>
      </w:divBdr>
    </w:div>
    <w:div w:id="256599212">
      <w:bodyDiv w:val="1"/>
      <w:marLeft w:val="0"/>
      <w:marRight w:val="0"/>
      <w:marTop w:val="0"/>
      <w:marBottom w:val="0"/>
      <w:divBdr>
        <w:top w:val="none" w:sz="0" w:space="0" w:color="auto"/>
        <w:left w:val="none" w:sz="0" w:space="0" w:color="auto"/>
        <w:bottom w:val="none" w:sz="0" w:space="0" w:color="auto"/>
        <w:right w:val="none" w:sz="0" w:space="0" w:color="auto"/>
      </w:divBdr>
    </w:div>
    <w:div w:id="318967073">
      <w:bodyDiv w:val="1"/>
      <w:marLeft w:val="0"/>
      <w:marRight w:val="0"/>
      <w:marTop w:val="0"/>
      <w:marBottom w:val="0"/>
      <w:divBdr>
        <w:top w:val="none" w:sz="0" w:space="0" w:color="auto"/>
        <w:left w:val="none" w:sz="0" w:space="0" w:color="auto"/>
        <w:bottom w:val="none" w:sz="0" w:space="0" w:color="auto"/>
        <w:right w:val="none" w:sz="0" w:space="0" w:color="auto"/>
      </w:divBdr>
    </w:div>
    <w:div w:id="339738962">
      <w:bodyDiv w:val="1"/>
      <w:marLeft w:val="0"/>
      <w:marRight w:val="0"/>
      <w:marTop w:val="0"/>
      <w:marBottom w:val="0"/>
      <w:divBdr>
        <w:top w:val="none" w:sz="0" w:space="0" w:color="auto"/>
        <w:left w:val="none" w:sz="0" w:space="0" w:color="auto"/>
        <w:bottom w:val="none" w:sz="0" w:space="0" w:color="auto"/>
        <w:right w:val="none" w:sz="0" w:space="0" w:color="auto"/>
      </w:divBdr>
    </w:div>
    <w:div w:id="357245935">
      <w:bodyDiv w:val="1"/>
      <w:marLeft w:val="0"/>
      <w:marRight w:val="0"/>
      <w:marTop w:val="0"/>
      <w:marBottom w:val="0"/>
      <w:divBdr>
        <w:top w:val="none" w:sz="0" w:space="0" w:color="auto"/>
        <w:left w:val="none" w:sz="0" w:space="0" w:color="auto"/>
        <w:bottom w:val="none" w:sz="0" w:space="0" w:color="auto"/>
        <w:right w:val="none" w:sz="0" w:space="0" w:color="auto"/>
      </w:divBdr>
    </w:div>
    <w:div w:id="376201666">
      <w:bodyDiv w:val="1"/>
      <w:marLeft w:val="0"/>
      <w:marRight w:val="0"/>
      <w:marTop w:val="0"/>
      <w:marBottom w:val="0"/>
      <w:divBdr>
        <w:top w:val="none" w:sz="0" w:space="0" w:color="auto"/>
        <w:left w:val="none" w:sz="0" w:space="0" w:color="auto"/>
        <w:bottom w:val="none" w:sz="0" w:space="0" w:color="auto"/>
        <w:right w:val="none" w:sz="0" w:space="0" w:color="auto"/>
      </w:divBdr>
    </w:div>
    <w:div w:id="414208713">
      <w:bodyDiv w:val="1"/>
      <w:marLeft w:val="0"/>
      <w:marRight w:val="0"/>
      <w:marTop w:val="0"/>
      <w:marBottom w:val="0"/>
      <w:divBdr>
        <w:top w:val="none" w:sz="0" w:space="0" w:color="auto"/>
        <w:left w:val="none" w:sz="0" w:space="0" w:color="auto"/>
        <w:bottom w:val="none" w:sz="0" w:space="0" w:color="auto"/>
        <w:right w:val="none" w:sz="0" w:space="0" w:color="auto"/>
      </w:divBdr>
    </w:div>
    <w:div w:id="457725290">
      <w:bodyDiv w:val="1"/>
      <w:marLeft w:val="0"/>
      <w:marRight w:val="0"/>
      <w:marTop w:val="0"/>
      <w:marBottom w:val="0"/>
      <w:divBdr>
        <w:top w:val="none" w:sz="0" w:space="0" w:color="auto"/>
        <w:left w:val="none" w:sz="0" w:space="0" w:color="auto"/>
        <w:bottom w:val="none" w:sz="0" w:space="0" w:color="auto"/>
        <w:right w:val="none" w:sz="0" w:space="0" w:color="auto"/>
      </w:divBdr>
    </w:div>
    <w:div w:id="463154500">
      <w:bodyDiv w:val="1"/>
      <w:marLeft w:val="0"/>
      <w:marRight w:val="0"/>
      <w:marTop w:val="0"/>
      <w:marBottom w:val="0"/>
      <w:divBdr>
        <w:top w:val="none" w:sz="0" w:space="0" w:color="auto"/>
        <w:left w:val="none" w:sz="0" w:space="0" w:color="auto"/>
        <w:bottom w:val="none" w:sz="0" w:space="0" w:color="auto"/>
        <w:right w:val="none" w:sz="0" w:space="0" w:color="auto"/>
      </w:divBdr>
    </w:div>
    <w:div w:id="667371779">
      <w:bodyDiv w:val="1"/>
      <w:marLeft w:val="0"/>
      <w:marRight w:val="0"/>
      <w:marTop w:val="0"/>
      <w:marBottom w:val="0"/>
      <w:divBdr>
        <w:top w:val="none" w:sz="0" w:space="0" w:color="auto"/>
        <w:left w:val="none" w:sz="0" w:space="0" w:color="auto"/>
        <w:bottom w:val="none" w:sz="0" w:space="0" w:color="auto"/>
        <w:right w:val="none" w:sz="0" w:space="0" w:color="auto"/>
      </w:divBdr>
    </w:div>
    <w:div w:id="673268051">
      <w:bodyDiv w:val="1"/>
      <w:marLeft w:val="0"/>
      <w:marRight w:val="0"/>
      <w:marTop w:val="0"/>
      <w:marBottom w:val="0"/>
      <w:divBdr>
        <w:top w:val="none" w:sz="0" w:space="0" w:color="auto"/>
        <w:left w:val="none" w:sz="0" w:space="0" w:color="auto"/>
        <w:bottom w:val="none" w:sz="0" w:space="0" w:color="auto"/>
        <w:right w:val="none" w:sz="0" w:space="0" w:color="auto"/>
      </w:divBdr>
    </w:div>
    <w:div w:id="893347351">
      <w:bodyDiv w:val="1"/>
      <w:marLeft w:val="0"/>
      <w:marRight w:val="0"/>
      <w:marTop w:val="0"/>
      <w:marBottom w:val="0"/>
      <w:divBdr>
        <w:top w:val="none" w:sz="0" w:space="0" w:color="auto"/>
        <w:left w:val="none" w:sz="0" w:space="0" w:color="auto"/>
        <w:bottom w:val="none" w:sz="0" w:space="0" w:color="auto"/>
        <w:right w:val="none" w:sz="0" w:space="0" w:color="auto"/>
      </w:divBdr>
    </w:div>
    <w:div w:id="1097990621">
      <w:bodyDiv w:val="1"/>
      <w:marLeft w:val="0"/>
      <w:marRight w:val="0"/>
      <w:marTop w:val="0"/>
      <w:marBottom w:val="0"/>
      <w:divBdr>
        <w:top w:val="none" w:sz="0" w:space="0" w:color="auto"/>
        <w:left w:val="none" w:sz="0" w:space="0" w:color="auto"/>
        <w:bottom w:val="none" w:sz="0" w:space="0" w:color="auto"/>
        <w:right w:val="none" w:sz="0" w:space="0" w:color="auto"/>
      </w:divBdr>
    </w:div>
    <w:div w:id="1103769523">
      <w:bodyDiv w:val="1"/>
      <w:marLeft w:val="0"/>
      <w:marRight w:val="0"/>
      <w:marTop w:val="0"/>
      <w:marBottom w:val="0"/>
      <w:divBdr>
        <w:top w:val="none" w:sz="0" w:space="0" w:color="auto"/>
        <w:left w:val="none" w:sz="0" w:space="0" w:color="auto"/>
        <w:bottom w:val="none" w:sz="0" w:space="0" w:color="auto"/>
        <w:right w:val="none" w:sz="0" w:space="0" w:color="auto"/>
      </w:divBdr>
    </w:div>
    <w:div w:id="1115170480">
      <w:bodyDiv w:val="1"/>
      <w:marLeft w:val="0"/>
      <w:marRight w:val="0"/>
      <w:marTop w:val="0"/>
      <w:marBottom w:val="0"/>
      <w:divBdr>
        <w:top w:val="none" w:sz="0" w:space="0" w:color="auto"/>
        <w:left w:val="none" w:sz="0" w:space="0" w:color="auto"/>
        <w:bottom w:val="none" w:sz="0" w:space="0" w:color="auto"/>
        <w:right w:val="none" w:sz="0" w:space="0" w:color="auto"/>
      </w:divBdr>
    </w:div>
    <w:div w:id="1136414419">
      <w:bodyDiv w:val="1"/>
      <w:marLeft w:val="0"/>
      <w:marRight w:val="0"/>
      <w:marTop w:val="0"/>
      <w:marBottom w:val="0"/>
      <w:divBdr>
        <w:top w:val="none" w:sz="0" w:space="0" w:color="auto"/>
        <w:left w:val="none" w:sz="0" w:space="0" w:color="auto"/>
        <w:bottom w:val="none" w:sz="0" w:space="0" w:color="auto"/>
        <w:right w:val="none" w:sz="0" w:space="0" w:color="auto"/>
      </w:divBdr>
    </w:div>
    <w:div w:id="1197502489">
      <w:bodyDiv w:val="1"/>
      <w:marLeft w:val="0"/>
      <w:marRight w:val="0"/>
      <w:marTop w:val="0"/>
      <w:marBottom w:val="0"/>
      <w:divBdr>
        <w:top w:val="none" w:sz="0" w:space="0" w:color="auto"/>
        <w:left w:val="none" w:sz="0" w:space="0" w:color="auto"/>
        <w:bottom w:val="none" w:sz="0" w:space="0" w:color="auto"/>
        <w:right w:val="none" w:sz="0" w:space="0" w:color="auto"/>
      </w:divBdr>
    </w:div>
    <w:div w:id="1344240309">
      <w:bodyDiv w:val="1"/>
      <w:marLeft w:val="0"/>
      <w:marRight w:val="0"/>
      <w:marTop w:val="0"/>
      <w:marBottom w:val="0"/>
      <w:divBdr>
        <w:top w:val="none" w:sz="0" w:space="0" w:color="auto"/>
        <w:left w:val="none" w:sz="0" w:space="0" w:color="auto"/>
        <w:bottom w:val="none" w:sz="0" w:space="0" w:color="auto"/>
        <w:right w:val="none" w:sz="0" w:space="0" w:color="auto"/>
      </w:divBdr>
    </w:div>
    <w:div w:id="1423330900">
      <w:bodyDiv w:val="1"/>
      <w:marLeft w:val="0"/>
      <w:marRight w:val="0"/>
      <w:marTop w:val="0"/>
      <w:marBottom w:val="0"/>
      <w:divBdr>
        <w:top w:val="none" w:sz="0" w:space="0" w:color="auto"/>
        <w:left w:val="none" w:sz="0" w:space="0" w:color="auto"/>
        <w:bottom w:val="none" w:sz="0" w:space="0" w:color="auto"/>
        <w:right w:val="none" w:sz="0" w:space="0" w:color="auto"/>
      </w:divBdr>
    </w:div>
    <w:div w:id="1490364496">
      <w:bodyDiv w:val="1"/>
      <w:marLeft w:val="0"/>
      <w:marRight w:val="0"/>
      <w:marTop w:val="0"/>
      <w:marBottom w:val="0"/>
      <w:divBdr>
        <w:top w:val="none" w:sz="0" w:space="0" w:color="auto"/>
        <w:left w:val="none" w:sz="0" w:space="0" w:color="auto"/>
        <w:bottom w:val="none" w:sz="0" w:space="0" w:color="auto"/>
        <w:right w:val="none" w:sz="0" w:space="0" w:color="auto"/>
      </w:divBdr>
    </w:div>
    <w:div w:id="1496459129">
      <w:bodyDiv w:val="1"/>
      <w:marLeft w:val="0"/>
      <w:marRight w:val="0"/>
      <w:marTop w:val="0"/>
      <w:marBottom w:val="0"/>
      <w:divBdr>
        <w:top w:val="none" w:sz="0" w:space="0" w:color="auto"/>
        <w:left w:val="none" w:sz="0" w:space="0" w:color="auto"/>
        <w:bottom w:val="none" w:sz="0" w:space="0" w:color="auto"/>
        <w:right w:val="none" w:sz="0" w:space="0" w:color="auto"/>
      </w:divBdr>
    </w:div>
    <w:div w:id="1524897924">
      <w:bodyDiv w:val="1"/>
      <w:marLeft w:val="0"/>
      <w:marRight w:val="0"/>
      <w:marTop w:val="0"/>
      <w:marBottom w:val="0"/>
      <w:divBdr>
        <w:top w:val="none" w:sz="0" w:space="0" w:color="auto"/>
        <w:left w:val="none" w:sz="0" w:space="0" w:color="auto"/>
        <w:bottom w:val="none" w:sz="0" w:space="0" w:color="auto"/>
        <w:right w:val="none" w:sz="0" w:space="0" w:color="auto"/>
      </w:divBdr>
    </w:div>
    <w:div w:id="1541044246">
      <w:bodyDiv w:val="1"/>
      <w:marLeft w:val="0"/>
      <w:marRight w:val="0"/>
      <w:marTop w:val="0"/>
      <w:marBottom w:val="0"/>
      <w:divBdr>
        <w:top w:val="none" w:sz="0" w:space="0" w:color="auto"/>
        <w:left w:val="none" w:sz="0" w:space="0" w:color="auto"/>
        <w:bottom w:val="none" w:sz="0" w:space="0" w:color="auto"/>
        <w:right w:val="none" w:sz="0" w:space="0" w:color="auto"/>
      </w:divBdr>
    </w:div>
    <w:div w:id="1545945101">
      <w:bodyDiv w:val="1"/>
      <w:marLeft w:val="0"/>
      <w:marRight w:val="0"/>
      <w:marTop w:val="0"/>
      <w:marBottom w:val="0"/>
      <w:divBdr>
        <w:top w:val="none" w:sz="0" w:space="0" w:color="auto"/>
        <w:left w:val="none" w:sz="0" w:space="0" w:color="auto"/>
        <w:bottom w:val="none" w:sz="0" w:space="0" w:color="auto"/>
        <w:right w:val="none" w:sz="0" w:space="0" w:color="auto"/>
      </w:divBdr>
    </w:div>
    <w:div w:id="1657680780">
      <w:bodyDiv w:val="1"/>
      <w:marLeft w:val="0"/>
      <w:marRight w:val="0"/>
      <w:marTop w:val="0"/>
      <w:marBottom w:val="0"/>
      <w:divBdr>
        <w:top w:val="none" w:sz="0" w:space="0" w:color="auto"/>
        <w:left w:val="none" w:sz="0" w:space="0" w:color="auto"/>
        <w:bottom w:val="none" w:sz="0" w:space="0" w:color="auto"/>
        <w:right w:val="none" w:sz="0" w:space="0" w:color="auto"/>
      </w:divBdr>
    </w:div>
    <w:div w:id="1661079812">
      <w:bodyDiv w:val="1"/>
      <w:marLeft w:val="0"/>
      <w:marRight w:val="0"/>
      <w:marTop w:val="0"/>
      <w:marBottom w:val="0"/>
      <w:divBdr>
        <w:top w:val="none" w:sz="0" w:space="0" w:color="auto"/>
        <w:left w:val="none" w:sz="0" w:space="0" w:color="auto"/>
        <w:bottom w:val="none" w:sz="0" w:space="0" w:color="auto"/>
        <w:right w:val="none" w:sz="0" w:space="0" w:color="auto"/>
      </w:divBdr>
    </w:div>
    <w:div w:id="1662660712">
      <w:bodyDiv w:val="1"/>
      <w:marLeft w:val="0"/>
      <w:marRight w:val="0"/>
      <w:marTop w:val="0"/>
      <w:marBottom w:val="0"/>
      <w:divBdr>
        <w:top w:val="none" w:sz="0" w:space="0" w:color="auto"/>
        <w:left w:val="none" w:sz="0" w:space="0" w:color="auto"/>
        <w:bottom w:val="none" w:sz="0" w:space="0" w:color="auto"/>
        <w:right w:val="none" w:sz="0" w:space="0" w:color="auto"/>
      </w:divBdr>
    </w:div>
    <w:div w:id="1680426285">
      <w:bodyDiv w:val="1"/>
      <w:marLeft w:val="0"/>
      <w:marRight w:val="0"/>
      <w:marTop w:val="0"/>
      <w:marBottom w:val="0"/>
      <w:divBdr>
        <w:top w:val="none" w:sz="0" w:space="0" w:color="auto"/>
        <w:left w:val="none" w:sz="0" w:space="0" w:color="auto"/>
        <w:bottom w:val="none" w:sz="0" w:space="0" w:color="auto"/>
        <w:right w:val="none" w:sz="0" w:space="0" w:color="auto"/>
      </w:divBdr>
    </w:div>
    <w:div w:id="1721899106">
      <w:bodyDiv w:val="1"/>
      <w:marLeft w:val="0"/>
      <w:marRight w:val="0"/>
      <w:marTop w:val="0"/>
      <w:marBottom w:val="0"/>
      <w:divBdr>
        <w:top w:val="none" w:sz="0" w:space="0" w:color="auto"/>
        <w:left w:val="none" w:sz="0" w:space="0" w:color="auto"/>
        <w:bottom w:val="none" w:sz="0" w:space="0" w:color="auto"/>
        <w:right w:val="none" w:sz="0" w:space="0" w:color="auto"/>
      </w:divBdr>
    </w:div>
    <w:div w:id="1825580019">
      <w:bodyDiv w:val="1"/>
      <w:marLeft w:val="0"/>
      <w:marRight w:val="0"/>
      <w:marTop w:val="0"/>
      <w:marBottom w:val="0"/>
      <w:divBdr>
        <w:top w:val="none" w:sz="0" w:space="0" w:color="auto"/>
        <w:left w:val="none" w:sz="0" w:space="0" w:color="auto"/>
        <w:bottom w:val="none" w:sz="0" w:space="0" w:color="auto"/>
        <w:right w:val="none" w:sz="0" w:space="0" w:color="auto"/>
      </w:divBdr>
    </w:div>
    <w:div w:id="1835950751">
      <w:bodyDiv w:val="1"/>
      <w:marLeft w:val="0"/>
      <w:marRight w:val="0"/>
      <w:marTop w:val="0"/>
      <w:marBottom w:val="0"/>
      <w:divBdr>
        <w:top w:val="none" w:sz="0" w:space="0" w:color="auto"/>
        <w:left w:val="none" w:sz="0" w:space="0" w:color="auto"/>
        <w:bottom w:val="none" w:sz="0" w:space="0" w:color="auto"/>
        <w:right w:val="none" w:sz="0" w:space="0" w:color="auto"/>
      </w:divBdr>
    </w:div>
    <w:div w:id="1862619984">
      <w:bodyDiv w:val="1"/>
      <w:marLeft w:val="0"/>
      <w:marRight w:val="0"/>
      <w:marTop w:val="0"/>
      <w:marBottom w:val="0"/>
      <w:divBdr>
        <w:top w:val="none" w:sz="0" w:space="0" w:color="auto"/>
        <w:left w:val="none" w:sz="0" w:space="0" w:color="auto"/>
        <w:bottom w:val="none" w:sz="0" w:space="0" w:color="auto"/>
        <w:right w:val="none" w:sz="0" w:space="0" w:color="auto"/>
      </w:divBdr>
    </w:div>
    <w:div w:id="1919829224">
      <w:bodyDiv w:val="1"/>
      <w:marLeft w:val="0"/>
      <w:marRight w:val="0"/>
      <w:marTop w:val="0"/>
      <w:marBottom w:val="0"/>
      <w:divBdr>
        <w:top w:val="none" w:sz="0" w:space="0" w:color="auto"/>
        <w:left w:val="none" w:sz="0" w:space="0" w:color="auto"/>
        <w:bottom w:val="none" w:sz="0" w:space="0" w:color="auto"/>
        <w:right w:val="none" w:sz="0" w:space="0" w:color="auto"/>
      </w:divBdr>
    </w:div>
    <w:div w:id="2100448708">
      <w:bodyDiv w:val="1"/>
      <w:marLeft w:val="0"/>
      <w:marRight w:val="0"/>
      <w:marTop w:val="0"/>
      <w:marBottom w:val="0"/>
      <w:divBdr>
        <w:top w:val="none" w:sz="0" w:space="0" w:color="auto"/>
        <w:left w:val="none" w:sz="0" w:space="0" w:color="auto"/>
        <w:bottom w:val="none" w:sz="0" w:space="0" w:color="auto"/>
        <w:right w:val="none" w:sz="0" w:space="0" w:color="auto"/>
      </w:divBdr>
    </w:div>
    <w:div w:id="213335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10</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Stuart</dc:creator>
  <cp:keywords/>
  <dc:description/>
  <cp:lastModifiedBy>Alan Stuart</cp:lastModifiedBy>
  <cp:revision>3</cp:revision>
  <dcterms:created xsi:type="dcterms:W3CDTF">2024-06-17T19:33:00Z</dcterms:created>
  <dcterms:modified xsi:type="dcterms:W3CDTF">2024-06-17T22:44:00Z</dcterms:modified>
</cp:coreProperties>
</file>