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C1725" w14:textId="77777777" w:rsidR="00E91034" w:rsidRDefault="00E91034" w:rsidP="00E91034">
      <w:pPr>
        <w:rPr>
          <w:rFonts w:ascii="Arial" w:hAnsi="Arial" w:cs="Arial"/>
          <w:b/>
          <w:bCs/>
          <w:sz w:val="40"/>
          <w:szCs w:val="40"/>
        </w:rPr>
      </w:pPr>
    </w:p>
    <w:p w14:paraId="5E7DD20E" w14:textId="77777777" w:rsidR="00E91034" w:rsidRDefault="00E91034" w:rsidP="00E91034">
      <w:pPr>
        <w:rPr>
          <w:rFonts w:ascii="Arial" w:hAnsi="Arial" w:cs="Arial"/>
          <w:b/>
          <w:bCs/>
          <w:sz w:val="40"/>
          <w:szCs w:val="40"/>
        </w:rPr>
      </w:pPr>
    </w:p>
    <w:p w14:paraId="6C0D4E5E" w14:textId="77777777" w:rsidR="00E91034" w:rsidRDefault="00E91034" w:rsidP="00E91034">
      <w:pPr>
        <w:rPr>
          <w:rFonts w:ascii="Arial" w:hAnsi="Arial" w:cs="Arial"/>
          <w:b/>
          <w:bCs/>
          <w:sz w:val="40"/>
          <w:szCs w:val="40"/>
        </w:rPr>
      </w:pPr>
    </w:p>
    <w:p w14:paraId="538592B8" w14:textId="77777777" w:rsidR="00E91034" w:rsidRDefault="00E91034" w:rsidP="00E91034">
      <w:pPr>
        <w:rPr>
          <w:rFonts w:ascii="Arial" w:hAnsi="Arial" w:cs="Arial"/>
          <w:b/>
          <w:bCs/>
          <w:sz w:val="40"/>
          <w:szCs w:val="40"/>
        </w:rPr>
      </w:pPr>
    </w:p>
    <w:p w14:paraId="17CA0646" w14:textId="77777777" w:rsidR="00E91034" w:rsidRDefault="00E91034" w:rsidP="00E91034">
      <w:pPr>
        <w:rPr>
          <w:rFonts w:ascii="Arial" w:hAnsi="Arial" w:cs="Arial"/>
          <w:b/>
          <w:bCs/>
          <w:sz w:val="40"/>
          <w:szCs w:val="40"/>
        </w:rPr>
      </w:pPr>
    </w:p>
    <w:p w14:paraId="34C279AF" w14:textId="77777777" w:rsidR="00E91034" w:rsidRDefault="00E91034" w:rsidP="00E91034">
      <w:pPr>
        <w:rPr>
          <w:rFonts w:ascii="Arial" w:hAnsi="Arial" w:cs="Arial"/>
          <w:b/>
          <w:bCs/>
          <w:sz w:val="40"/>
          <w:szCs w:val="40"/>
        </w:rPr>
      </w:pPr>
    </w:p>
    <w:p w14:paraId="09665BDE" w14:textId="77777777" w:rsidR="00E91034" w:rsidRDefault="00E91034" w:rsidP="00E91034">
      <w:pPr>
        <w:rPr>
          <w:rFonts w:ascii="Arial" w:hAnsi="Arial" w:cs="Arial"/>
          <w:b/>
          <w:bCs/>
          <w:sz w:val="40"/>
          <w:szCs w:val="40"/>
        </w:rPr>
      </w:pPr>
    </w:p>
    <w:p w14:paraId="26E473FF" w14:textId="77777777" w:rsidR="00E91034" w:rsidRDefault="00E91034" w:rsidP="00E91034">
      <w:pPr>
        <w:rPr>
          <w:rFonts w:ascii="Arial" w:hAnsi="Arial" w:cs="Arial"/>
          <w:b/>
          <w:bCs/>
          <w:sz w:val="40"/>
          <w:szCs w:val="40"/>
        </w:rPr>
      </w:pPr>
    </w:p>
    <w:p w14:paraId="688E7565" w14:textId="77777777" w:rsidR="00E91034" w:rsidRDefault="00E91034" w:rsidP="00E91034">
      <w:pPr>
        <w:rPr>
          <w:rFonts w:ascii="Arial" w:hAnsi="Arial" w:cs="Arial"/>
          <w:b/>
          <w:bCs/>
          <w:sz w:val="40"/>
          <w:szCs w:val="40"/>
        </w:rPr>
      </w:pPr>
    </w:p>
    <w:p w14:paraId="505BE4C2" w14:textId="1AB68EBC" w:rsidR="00E67F5F" w:rsidRPr="00BC16A4" w:rsidRDefault="00E67F5F" w:rsidP="00E91034">
      <w:pPr>
        <w:rPr>
          <w:rFonts w:ascii="Arial" w:hAnsi="Arial" w:cs="Arial"/>
          <w:b/>
          <w:bCs/>
          <w:sz w:val="40"/>
          <w:szCs w:val="40"/>
        </w:rPr>
      </w:pPr>
      <w:r w:rsidRPr="00BC16A4">
        <w:rPr>
          <w:rFonts w:ascii="Arial" w:hAnsi="Arial" w:cs="Arial"/>
          <w:b/>
          <w:bCs/>
          <w:sz w:val="40"/>
          <w:szCs w:val="40"/>
        </w:rPr>
        <w:t>1. Wealth Management Operations</w:t>
      </w:r>
    </w:p>
    <w:p w14:paraId="39317430" w14:textId="324ADE3A" w:rsidR="00E67F5F" w:rsidRPr="00BC16A4" w:rsidRDefault="00E67F5F" w:rsidP="00E91034">
      <w:pPr>
        <w:rPr>
          <w:rFonts w:ascii="Arial" w:hAnsi="Arial" w:cs="Arial"/>
          <w:b/>
          <w:bCs/>
          <w:sz w:val="40"/>
          <w:szCs w:val="40"/>
        </w:rPr>
      </w:pPr>
      <w:r w:rsidRPr="00BC16A4">
        <w:rPr>
          <w:rFonts w:ascii="Arial" w:hAnsi="Arial" w:cs="Arial"/>
          <w:b/>
          <w:bCs/>
          <w:sz w:val="40"/>
          <w:szCs w:val="40"/>
        </w:rPr>
        <w:t>2. Treasury Management Services</w:t>
      </w:r>
    </w:p>
    <w:p w14:paraId="6D399402" w14:textId="7D3C1961" w:rsidR="00E67F5F" w:rsidRPr="00BC16A4" w:rsidRDefault="00E67F5F" w:rsidP="00E91034">
      <w:pPr>
        <w:rPr>
          <w:rFonts w:ascii="Arial" w:hAnsi="Arial" w:cs="Arial"/>
          <w:b/>
          <w:bCs/>
          <w:sz w:val="40"/>
          <w:szCs w:val="40"/>
        </w:rPr>
      </w:pPr>
      <w:r w:rsidRPr="00BC16A4">
        <w:rPr>
          <w:rFonts w:ascii="Arial" w:hAnsi="Arial" w:cs="Arial"/>
          <w:b/>
          <w:bCs/>
          <w:sz w:val="40"/>
          <w:szCs w:val="40"/>
        </w:rPr>
        <w:t>3. Risk Management in Banking Operations</w:t>
      </w:r>
    </w:p>
    <w:p w14:paraId="1058D976" w14:textId="77777777" w:rsidR="00E91034" w:rsidRPr="002C6915" w:rsidRDefault="00E91034" w:rsidP="00E91034">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1BBE2627" w14:textId="77777777" w:rsidR="00E67F5F" w:rsidRDefault="00E67F5F" w:rsidP="00BC16A4">
      <w:pPr>
        <w:rPr>
          <w:rFonts w:ascii="Arial" w:hAnsi="Arial" w:cs="Arial"/>
          <w:b/>
          <w:bCs/>
          <w:sz w:val="28"/>
          <w:szCs w:val="28"/>
        </w:rPr>
      </w:pPr>
    </w:p>
    <w:p w14:paraId="3778EE1F" w14:textId="77777777" w:rsidR="00E67F5F" w:rsidRDefault="00E67F5F" w:rsidP="00BC16A4">
      <w:pPr>
        <w:rPr>
          <w:rFonts w:ascii="Arial" w:hAnsi="Arial" w:cs="Arial"/>
          <w:b/>
          <w:bCs/>
          <w:sz w:val="28"/>
          <w:szCs w:val="28"/>
        </w:rPr>
      </w:pPr>
    </w:p>
    <w:p w14:paraId="6EC9B0D1" w14:textId="77777777" w:rsidR="00E67F5F" w:rsidRDefault="00E67F5F" w:rsidP="00BC16A4">
      <w:pPr>
        <w:rPr>
          <w:rFonts w:ascii="Arial" w:hAnsi="Arial" w:cs="Arial"/>
          <w:b/>
          <w:bCs/>
          <w:sz w:val="28"/>
          <w:szCs w:val="28"/>
        </w:rPr>
      </w:pPr>
    </w:p>
    <w:p w14:paraId="3ECB7E88" w14:textId="77777777" w:rsidR="00E67F5F" w:rsidRDefault="00E67F5F" w:rsidP="00BC16A4">
      <w:pPr>
        <w:rPr>
          <w:rFonts w:ascii="Arial" w:hAnsi="Arial" w:cs="Arial"/>
          <w:b/>
          <w:bCs/>
          <w:sz w:val="28"/>
          <w:szCs w:val="28"/>
        </w:rPr>
      </w:pPr>
    </w:p>
    <w:p w14:paraId="6E01DEB9" w14:textId="77777777" w:rsidR="00E67F5F" w:rsidRDefault="00E67F5F" w:rsidP="00BC16A4">
      <w:pPr>
        <w:rPr>
          <w:rFonts w:ascii="Arial" w:hAnsi="Arial" w:cs="Arial"/>
          <w:b/>
          <w:bCs/>
          <w:sz w:val="28"/>
          <w:szCs w:val="28"/>
        </w:rPr>
      </w:pPr>
    </w:p>
    <w:p w14:paraId="6605F8F6" w14:textId="77777777" w:rsidR="00E67F5F" w:rsidRDefault="00E67F5F" w:rsidP="00BC16A4">
      <w:pPr>
        <w:rPr>
          <w:rFonts w:ascii="Arial" w:hAnsi="Arial" w:cs="Arial"/>
          <w:b/>
          <w:bCs/>
          <w:sz w:val="28"/>
          <w:szCs w:val="28"/>
        </w:rPr>
      </w:pPr>
    </w:p>
    <w:p w14:paraId="6C6E63E0" w14:textId="77777777" w:rsidR="00E67F5F" w:rsidRDefault="00E67F5F" w:rsidP="00BC16A4">
      <w:pPr>
        <w:rPr>
          <w:rFonts w:ascii="Arial" w:hAnsi="Arial" w:cs="Arial"/>
          <w:b/>
          <w:bCs/>
          <w:sz w:val="28"/>
          <w:szCs w:val="28"/>
        </w:rPr>
      </w:pPr>
    </w:p>
    <w:p w14:paraId="5FFAEE1B" w14:textId="77777777" w:rsidR="00E67F5F" w:rsidRDefault="00E67F5F" w:rsidP="00BC16A4">
      <w:pPr>
        <w:rPr>
          <w:rFonts w:ascii="Arial" w:hAnsi="Arial" w:cs="Arial"/>
          <w:b/>
          <w:bCs/>
          <w:sz w:val="28"/>
          <w:szCs w:val="28"/>
        </w:rPr>
      </w:pPr>
    </w:p>
    <w:p w14:paraId="518815F1" w14:textId="77777777" w:rsidR="00E91034" w:rsidRDefault="00E91034" w:rsidP="00BC16A4">
      <w:pPr>
        <w:rPr>
          <w:rFonts w:ascii="Arial" w:hAnsi="Arial" w:cs="Arial"/>
          <w:b/>
          <w:bCs/>
          <w:sz w:val="28"/>
          <w:szCs w:val="28"/>
        </w:rPr>
      </w:pPr>
    </w:p>
    <w:p w14:paraId="130D38AE" w14:textId="77777777" w:rsidR="00E91034" w:rsidRDefault="00E91034" w:rsidP="00BC16A4">
      <w:pPr>
        <w:rPr>
          <w:rFonts w:ascii="Arial" w:hAnsi="Arial" w:cs="Arial"/>
          <w:b/>
          <w:bCs/>
          <w:sz w:val="28"/>
          <w:szCs w:val="28"/>
        </w:rPr>
      </w:pPr>
    </w:p>
    <w:p w14:paraId="4ACAF067" w14:textId="53DE526E" w:rsidR="00BC16A4" w:rsidRPr="00BC16A4" w:rsidRDefault="00BC16A4" w:rsidP="00BC16A4">
      <w:pPr>
        <w:rPr>
          <w:rFonts w:ascii="Arial" w:hAnsi="Arial" w:cs="Arial"/>
          <w:b/>
          <w:bCs/>
          <w:sz w:val="28"/>
          <w:szCs w:val="28"/>
        </w:rPr>
      </w:pPr>
      <w:r w:rsidRPr="00BC16A4">
        <w:rPr>
          <w:rFonts w:ascii="Arial" w:hAnsi="Arial" w:cs="Arial"/>
          <w:b/>
          <w:bCs/>
          <w:sz w:val="28"/>
          <w:szCs w:val="28"/>
        </w:rPr>
        <w:lastRenderedPageBreak/>
        <w:t>1. Wealth Management Operations</w:t>
      </w:r>
      <w:r w:rsidRPr="00E67F5F">
        <w:rPr>
          <w:rFonts w:ascii="Arial" w:hAnsi="Arial" w:cs="Arial"/>
          <w:b/>
          <w:bCs/>
          <w:sz w:val="28"/>
          <w:szCs w:val="28"/>
        </w:rPr>
        <w:t>:</w:t>
      </w:r>
    </w:p>
    <w:p w14:paraId="5A65528A" w14:textId="77777777" w:rsidR="00BC16A4" w:rsidRPr="00E67F5F" w:rsidRDefault="00BC16A4" w:rsidP="00BC16A4">
      <w:pPr>
        <w:rPr>
          <w:rFonts w:ascii="Arial" w:hAnsi="Arial" w:cs="Arial"/>
          <w:sz w:val="28"/>
          <w:szCs w:val="28"/>
        </w:rPr>
      </w:pPr>
      <w:r w:rsidRPr="00BC16A4">
        <w:rPr>
          <w:rFonts w:ascii="Arial" w:hAnsi="Arial" w:cs="Arial"/>
          <w:b/>
          <w:bCs/>
          <w:sz w:val="28"/>
          <w:szCs w:val="28"/>
        </w:rPr>
        <w:t>Introduction</w:t>
      </w:r>
      <w:r w:rsidRPr="00BC16A4">
        <w:rPr>
          <w:rFonts w:ascii="Arial" w:hAnsi="Arial" w:cs="Arial"/>
          <w:sz w:val="28"/>
          <w:szCs w:val="28"/>
        </w:rPr>
        <w:t>:</w:t>
      </w:r>
      <w:r w:rsidRPr="00BC16A4">
        <w:rPr>
          <w:rFonts w:ascii="Arial" w:hAnsi="Arial" w:cs="Arial"/>
          <w:sz w:val="28"/>
          <w:szCs w:val="28"/>
        </w:rPr>
        <w:br/>
        <w:t>Wealth management operations involve providing financial services and advice to high-net-worth individuals (HNWIs) and institutions. These services include investment management, financial planning, estate planning, tax services, and retirement planning. The goal is to grow and preserve wealth over the long term while meeting the specific financial goals and risk tolerance of clients. </w:t>
      </w:r>
    </w:p>
    <w:p w14:paraId="6675841F" w14:textId="42588EA6" w:rsidR="00BC16A4" w:rsidRPr="00BC16A4" w:rsidRDefault="00BC16A4" w:rsidP="00BC16A4">
      <w:pPr>
        <w:rPr>
          <w:rFonts w:ascii="Arial" w:hAnsi="Arial" w:cs="Arial"/>
          <w:sz w:val="28"/>
          <w:szCs w:val="28"/>
        </w:rPr>
      </w:pPr>
      <w:r w:rsidRPr="00BC16A4">
        <w:rPr>
          <w:rFonts w:ascii="Arial" w:hAnsi="Arial" w:cs="Arial"/>
          <w:b/>
          <w:bCs/>
          <w:sz w:val="28"/>
          <w:szCs w:val="28"/>
        </w:rPr>
        <w:t>Basic Terminologies</w:t>
      </w:r>
      <w:r w:rsidRPr="00BC16A4">
        <w:rPr>
          <w:rFonts w:ascii="Arial" w:hAnsi="Arial" w:cs="Arial"/>
          <w:sz w:val="28"/>
          <w:szCs w:val="28"/>
        </w:rPr>
        <w:t>:</w:t>
      </w:r>
    </w:p>
    <w:p w14:paraId="455A77E5" w14:textId="77777777" w:rsidR="00BC16A4" w:rsidRPr="00BC16A4" w:rsidRDefault="00BC16A4" w:rsidP="00BC16A4">
      <w:pPr>
        <w:numPr>
          <w:ilvl w:val="0"/>
          <w:numId w:val="1"/>
        </w:numPr>
        <w:rPr>
          <w:rFonts w:ascii="Arial" w:hAnsi="Arial" w:cs="Arial"/>
          <w:sz w:val="28"/>
          <w:szCs w:val="28"/>
        </w:rPr>
      </w:pPr>
      <w:r w:rsidRPr="00BC16A4">
        <w:rPr>
          <w:rFonts w:ascii="Arial" w:hAnsi="Arial" w:cs="Arial"/>
          <w:b/>
          <w:bCs/>
          <w:sz w:val="28"/>
          <w:szCs w:val="28"/>
        </w:rPr>
        <w:t>Assets Under Management (AUM)</w:t>
      </w:r>
      <w:r w:rsidRPr="00BC16A4">
        <w:rPr>
          <w:rFonts w:ascii="Arial" w:hAnsi="Arial" w:cs="Arial"/>
          <w:sz w:val="28"/>
          <w:szCs w:val="28"/>
        </w:rPr>
        <w:t>: The total market value of assets that a wealth management firm manages on behalf of its clients.</w:t>
      </w:r>
    </w:p>
    <w:p w14:paraId="3AB675D7" w14:textId="77777777" w:rsidR="00BC16A4" w:rsidRPr="00BC16A4" w:rsidRDefault="00BC16A4" w:rsidP="00BC16A4">
      <w:pPr>
        <w:numPr>
          <w:ilvl w:val="0"/>
          <w:numId w:val="1"/>
        </w:numPr>
        <w:rPr>
          <w:rFonts w:ascii="Arial" w:hAnsi="Arial" w:cs="Arial"/>
          <w:sz w:val="28"/>
          <w:szCs w:val="28"/>
        </w:rPr>
      </w:pPr>
      <w:r w:rsidRPr="00BC16A4">
        <w:rPr>
          <w:rFonts w:ascii="Arial" w:hAnsi="Arial" w:cs="Arial"/>
          <w:b/>
          <w:bCs/>
          <w:sz w:val="28"/>
          <w:szCs w:val="28"/>
        </w:rPr>
        <w:t>Portfolio Management</w:t>
      </w:r>
      <w:r w:rsidRPr="00BC16A4">
        <w:rPr>
          <w:rFonts w:ascii="Arial" w:hAnsi="Arial" w:cs="Arial"/>
          <w:sz w:val="28"/>
          <w:szCs w:val="28"/>
        </w:rPr>
        <w:t>: The process of selecting, managing, and overseeing a collection of investments to meet specific financial goals.</w:t>
      </w:r>
    </w:p>
    <w:p w14:paraId="04D3974B" w14:textId="77777777" w:rsidR="00BC16A4" w:rsidRPr="00BC16A4" w:rsidRDefault="00BC16A4" w:rsidP="00BC16A4">
      <w:pPr>
        <w:numPr>
          <w:ilvl w:val="0"/>
          <w:numId w:val="1"/>
        </w:numPr>
        <w:rPr>
          <w:rFonts w:ascii="Arial" w:hAnsi="Arial" w:cs="Arial"/>
          <w:sz w:val="28"/>
          <w:szCs w:val="28"/>
        </w:rPr>
      </w:pPr>
      <w:r w:rsidRPr="00BC16A4">
        <w:rPr>
          <w:rFonts w:ascii="Arial" w:hAnsi="Arial" w:cs="Arial"/>
          <w:b/>
          <w:bCs/>
          <w:sz w:val="28"/>
          <w:szCs w:val="28"/>
        </w:rPr>
        <w:t>Diversification</w:t>
      </w:r>
      <w:r w:rsidRPr="00BC16A4">
        <w:rPr>
          <w:rFonts w:ascii="Arial" w:hAnsi="Arial" w:cs="Arial"/>
          <w:sz w:val="28"/>
          <w:szCs w:val="28"/>
        </w:rPr>
        <w:t>: A risk management strategy that involves spreading investments across various asset classes to reduce risk.</w:t>
      </w:r>
    </w:p>
    <w:p w14:paraId="445FD816" w14:textId="77777777" w:rsidR="00BC16A4" w:rsidRPr="00BC16A4" w:rsidRDefault="00BC16A4" w:rsidP="00BC16A4">
      <w:pPr>
        <w:numPr>
          <w:ilvl w:val="0"/>
          <w:numId w:val="1"/>
        </w:numPr>
        <w:rPr>
          <w:rFonts w:ascii="Arial" w:hAnsi="Arial" w:cs="Arial"/>
          <w:sz w:val="28"/>
          <w:szCs w:val="28"/>
        </w:rPr>
      </w:pPr>
      <w:r w:rsidRPr="00BC16A4">
        <w:rPr>
          <w:rFonts w:ascii="Arial" w:hAnsi="Arial" w:cs="Arial"/>
          <w:b/>
          <w:bCs/>
          <w:sz w:val="28"/>
          <w:szCs w:val="28"/>
        </w:rPr>
        <w:t>Asset Allocation</w:t>
      </w:r>
      <w:r w:rsidRPr="00BC16A4">
        <w:rPr>
          <w:rFonts w:ascii="Arial" w:hAnsi="Arial" w:cs="Arial"/>
          <w:sz w:val="28"/>
          <w:szCs w:val="28"/>
        </w:rPr>
        <w:t>: The process of dividing an investment portfolio among different asset categories, such as stocks, bonds, and cash.</w:t>
      </w:r>
    </w:p>
    <w:p w14:paraId="2BF1948B" w14:textId="77777777" w:rsidR="00BC16A4" w:rsidRPr="00BC16A4" w:rsidRDefault="00BC16A4" w:rsidP="00BC16A4">
      <w:pPr>
        <w:numPr>
          <w:ilvl w:val="0"/>
          <w:numId w:val="1"/>
        </w:numPr>
        <w:rPr>
          <w:rFonts w:ascii="Arial" w:hAnsi="Arial" w:cs="Arial"/>
          <w:sz w:val="28"/>
          <w:szCs w:val="28"/>
        </w:rPr>
      </w:pPr>
      <w:r w:rsidRPr="00BC16A4">
        <w:rPr>
          <w:rFonts w:ascii="Arial" w:hAnsi="Arial" w:cs="Arial"/>
          <w:b/>
          <w:bCs/>
          <w:sz w:val="28"/>
          <w:szCs w:val="28"/>
        </w:rPr>
        <w:t>Financial Planning</w:t>
      </w:r>
      <w:r w:rsidRPr="00BC16A4">
        <w:rPr>
          <w:rFonts w:ascii="Arial" w:hAnsi="Arial" w:cs="Arial"/>
          <w:sz w:val="28"/>
          <w:szCs w:val="28"/>
        </w:rPr>
        <w:t>: A comprehensive evaluation of an individual's current and future financial state by using currently known variables to predict future cash flows, asset values, and withdrawal plans.</w:t>
      </w:r>
    </w:p>
    <w:p w14:paraId="6DDC5616" w14:textId="77777777" w:rsidR="00BC16A4" w:rsidRPr="00BC16A4" w:rsidRDefault="00BC16A4" w:rsidP="00BC16A4">
      <w:pPr>
        <w:numPr>
          <w:ilvl w:val="0"/>
          <w:numId w:val="1"/>
        </w:numPr>
        <w:rPr>
          <w:rFonts w:ascii="Arial" w:hAnsi="Arial" w:cs="Arial"/>
          <w:sz w:val="28"/>
          <w:szCs w:val="28"/>
        </w:rPr>
      </w:pPr>
      <w:r w:rsidRPr="00BC16A4">
        <w:rPr>
          <w:rFonts w:ascii="Arial" w:hAnsi="Arial" w:cs="Arial"/>
          <w:b/>
          <w:bCs/>
          <w:sz w:val="28"/>
          <w:szCs w:val="28"/>
        </w:rPr>
        <w:t>Estate Planning</w:t>
      </w:r>
      <w:r w:rsidRPr="00BC16A4">
        <w:rPr>
          <w:rFonts w:ascii="Arial" w:hAnsi="Arial" w:cs="Arial"/>
          <w:sz w:val="28"/>
          <w:szCs w:val="28"/>
        </w:rPr>
        <w:t>: The process of arranging for the disposal of an individual's estate, including the management of assets and liabilities after death.</w:t>
      </w:r>
    </w:p>
    <w:p w14:paraId="38DF6FAC" w14:textId="77777777" w:rsidR="00BC16A4" w:rsidRPr="00BC16A4" w:rsidRDefault="00BC16A4" w:rsidP="00BC16A4">
      <w:pPr>
        <w:numPr>
          <w:ilvl w:val="0"/>
          <w:numId w:val="1"/>
        </w:numPr>
        <w:rPr>
          <w:rFonts w:ascii="Arial" w:hAnsi="Arial" w:cs="Arial"/>
          <w:sz w:val="28"/>
          <w:szCs w:val="28"/>
        </w:rPr>
      </w:pPr>
      <w:r w:rsidRPr="00BC16A4">
        <w:rPr>
          <w:rFonts w:ascii="Arial" w:hAnsi="Arial" w:cs="Arial"/>
          <w:b/>
          <w:bCs/>
          <w:sz w:val="28"/>
          <w:szCs w:val="28"/>
        </w:rPr>
        <w:t>Tax Efficiency</w:t>
      </w:r>
      <w:r w:rsidRPr="00BC16A4">
        <w:rPr>
          <w:rFonts w:ascii="Arial" w:hAnsi="Arial" w:cs="Arial"/>
          <w:sz w:val="28"/>
          <w:szCs w:val="28"/>
        </w:rPr>
        <w:t>: Strategies to minimize tax liabilities and maximize after-tax returns on investments.</w:t>
      </w:r>
    </w:p>
    <w:p w14:paraId="6ECBDFB1" w14:textId="77777777" w:rsidR="00BC16A4" w:rsidRPr="00BC16A4" w:rsidRDefault="00BC16A4" w:rsidP="00BC16A4">
      <w:pPr>
        <w:numPr>
          <w:ilvl w:val="0"/>
          <w:numId w:val="1"/>
        </w:numPr>
        <w:rPr>
          <w:rFonts w:ascii="Arial" w:hAnsi="Arial" w:cs="Arial"/>
          <w:sz w:val="28"/>
          <w:szCs w:val="28"/>
        </w:rPr>
      </w:pPr>
      <w:r w:rsidRPr="00BC16A4">
        <w:rPr>
          <w:rFonts w:ascii="Arial" w:hAnsi="Arial" w:cs="Arial"/>
          <w:b/>
          <w:bCs/>
          <w:sz w:val="28"/>
          <w:szCs w:val="28"/>
        </w:rPr>
        <w:t>Retirement Planning</w:t>
      </w:r>
      <w:r w:rsidRPr="00BC16A4">
        <w:rPr>
          <w:rFonts w:ascii="Arial" w:hAnsi="Arial" w:cs="Arial"/>
          <w:sz w:val="28"/>
          <w:szCs w:val="28"/>
        </w:rPr>
        <w:t>: The process of determining retirement income goals and the actions and decisions necessary to achieve those goals.</w:t>
      </w:r>
    </w:p>
    <w:p w14:paraId="540E2E15" w14:textId="77777777" w:rsidR="00E67F5F" w:rsidRDefault="00E67F5F" w:rsidP="00BC16A4">
      <w:pPr>
        <w:rPr>
          <w:rFonts w:ascii="Arial" w:hAnsi="Arial" w:cs="Arial"/>
          <w:b/>
          <w:bCs/>
          <w:sz w:val="28"/>
          <w:szCs w:val="28"/>
        </w:rPr>
      </w:pPr>
    </w:p>
    <w:p w14:paraId="19E342A1" w14:textId="77777777" w:rsidR="00E67F5F" w:rsidRDefault="00E67F5F" w:rsidP="00BC16A4">
      <w:pPr>
        <w:rPr>
          <w:rFonts w:ascii="Arial" w:hAnsi="Arial" w:cs="Arial"/>
          <w:b/>
          <w:bCs/>
          <w:sz w:val="28"/>
          <w:szCs w:val="28"/>
        </w:rPr>
      </w:pPr>
    </w:p>
    <w:p w14:paraId="21F28AE3" w14:textId="3F0ABC36" w:rsidR="00E750FB" w:rsidRPr="00E67F5F" w:rsidRDefault="00E750FB" w:rsidP="00BC16A4">
      <w:pPr>
        <w:rPr>
          <w:rFonts w:ascii="Arial" w:hAnsi="Arial" w:cs="Arial"/>
          <w:b/>
          <w:bCs/>
          <w:sz w:val="28"/>
          <w:szCs w:val="28"/>
        </w:rPr>
      </w:pPr>
      <w:r w:rsidRPr="00E67F5F">
        <w:rPr>
          <w:rFonts w:ascii="Arial" w:hAnsi="Arial" w:cs="Arial"/>
          <w:b/>
          <w:bCs/>
          <w:sz w:val="28"/>
          <w:szCs w:val="28"/>
        </w:rPr>
        <w:lastRenderedPageBreak/>
        <w:t>Graphs:</w:t>
      </w:r>
    </w:p>
    <w:p w14:paraId="02D2B38B" w14:textId="683E9364" w:rsidR="00E750FB" w:rsidRPr="00E67F5F" w:rsidRDefault="00E750FB" w:rsidP="00E750FB">
      <w:pPr>
        <w:rPr>
          <w:rFonts w:ascii="Arial" w:hAnsi="Arial" w:cs="Arial"/>
          <w:sz w:val="28"/>
          <w:szCs w:val="28"/>
        </w:rPr>
      </w:pPr>
      <w:r w:rsidRPr="00E67F5F">
        <w:rPr>
          <w:rFonts w:ascii="Arial" w:hAnsi="Arial" w:cs="Arial"/>
          <w:b/>
          <w:bCs/>
          <w:sz w:val="28"/>
          <w:szCs w:val="28"/>
        </w:rPr>
        <w:t>Graph 1.A:</w:t>
      </w:r>
      <w:r w:rsidRPr="00E67F5F">
        <w:rPr>
          <w:rFonts w:ascii="Arial" w:hAnsi="Arial" w:cs="Arial"/>
          <w:sz w:val="28"/>
          <w:szCs w:val="28"/>
        </w:rPr>
        <w:t xml:space="preserve"> Wealth</w:t>
      </w:r>
      <w:r w:rsidRPr="00E67F5F">
        <w:rPr>
          <w:rFonts w:ascii="Arial" w:hAnsi="Arial" w:cs="Arial"/>
          <w:sz w:val="28"/>
          <w:szCs w:val="28"/>
        </w:rPr>
        <w:t xml:space="preserve"> Management Operations: Adjusted Close Prices</w:t>
      </w:r>
      <w:r w:rsidRPr="00E67F5F">
        <w:rPr>
          <w:rFonts w:ascii="Arial" w:hAnsi="Arial" w:cs="Arial"/>
          <w:sz w:val="28"/>
          <w:szCs w:val="28"/>
        </w:rPr>
        <w:t>:</w:t>
      </w:r>
    </w:p>
    <w:p w14:paraId="185B2CE2" w14:textId="77777777" w:rsidR="00E750FB" w:rsidRPr="00E67F5F" w:rsidRDefault="00E750FB" w:rsidP="00E750FB">
      <w:pPr>
        <w:rPr>
          <w:rFonts w:ascii="Arial" w:hAnsi="Arial" w:cs="Arial"/>
          <w:sz w:val="28"/>
          <w:szCs w:val="28"/>
        </w:rPr>
      </w:pPr>
      <w:r w:rsidRPr="00E67F5F">
        <w:rPr>
          <w:rFonts w:ascii="Arial" w:hAnsi="Arial" w:cs="Arial"/>
          <w:noProof/>
          <w:sz w:val="28"/>
          <w:szCs w:val="28"/>
        </w:rPr>
        <w:drawing>
          <wp:inline distT="0" distB="0" distL="0" distR="0" wp14:anchorId="51757BB3" wp14:editId="0552A2C2">
            <wp:extent cx="5731510" cy="3371850"/>
            <wp:effectExtent l="0" t="0" r="2540" b="0"/>
            <wp:docPr id="666865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71850"/>
                    </a:xfrm>
                    <a:prstGeom prst="rect">
                      <a:avLst/>
                    </a:prstGeom>
                    <a:noFill/>
                    <a:ln>
                      <a:noFill/>
                    </a:ln>
                  </pic:spPr>
                </pic:pic>
              </a:graphicData>
            </a:graphic>
          </wp:inline>
        </w:drawing>
      </w:r>
      <w:r w:rsidRPr="00E67F5F">
        <w:rPr>
          <w:rFonts w:ascii="Arial" w:hAnsi="Arial" w:cs="Arial"/>
          <w:b/>
          <w:bCs/>
          <w:sz w:val="28"/>
          <w:szCs w:val="28"/>
        </w:rPr>
        <w:t>Inference</w:t>
      </w:r>
      <w:r w:rsidRPr="00E67F5F">
        <w:rPr>
          <w:rFonts w:ascii="Arial" w:hAnsi="Arial" w:cs="Arial"/>
          <w:sz w:val="28"/>
          <w:szCs w:val="28"/>
        </w:rPr>
        <w:t>:</w:t>
      </w:r>
    </w:p>
    <w:p w14:paraId="7CD59990" w14:textId="77777777" w:rsidR="00E750FB" w:rsidRPr="00E750FB" w:rsidRDefault="00E750FB" w:rsidP="00E750FB">
      <w:pPr>
        <w:numPr>
          <w:ilvl w:val="0"/>
          <w:numId w:val="4"/>
        </w:numPr>
        <w:rPr>
          <w:rFonts w:ascii="Arial" w:hAnsi="Arial" w:cs="Arial"/>
          <w:sz w:val="28"/>
          <w:szCs w:val="28"/>
        </w:rPr>
      </w:pPr>
      <w:r w:rsidRPr="00E750FB">
        <w:rPr>
          <w:rFonts w:ascii="Arial" w:hAnsi="Arial" w:cs="Arial"/>
          <w:b/>
          <w:bCs/>
          <w:sz w:val="28"/>
          <w:szCs w:val="28"/>
        </w:rPr>
        <w:t>Trend Analysis</w:t>
      </w:r>
      <w:r w:rsidRPr="00E750FB">
        <w:rPr>
          <w:rFonts w:ascii="Arial" w:hAnsi="Arial" w:cs="Arial"/>
          <w:sz w:val="28"/>
          <w:szCs w:val="28"/>
        </w:rPr>
        <w:t>: The adjusted close prices provide insights into the stock performance of each bank over the specified period.</w:t>
      </w:r>
    </w:p>
    <w:p w14:paraId="297123BF" w14:textId="77777777" w:rsidR="00E750FB" w:rsidRPr="00E750FB" w:rsidRDefault="00E750FB" w:rsidP="00E750FB">
      <w:pPr>
        <w:numPr>
          <w:ilvl w:val="0"/>
          <w:numId w:val="4"/>
        </w:numPr>
        <w:rPr>
          <w:rFonts w:ascii="Arial" w:hAnsi="Arial" w:cs="Arial"/>
          <w:sz w:val="28"/>
          <w:szCs w:val="28"/>
        </w:rPr>
      </w:pPr>
      <w:r w:rsidRPr="00E750FB">
        <w:rPr>
          <w:rFonts w:ascii="Arial" w:hAnsi="Arial" w:cs="Arial"/>
          <w:b/>
          <w:bCs/>
          <w:sz w:val="28"/>
          <w:szCs w:val="28"/>
        </w:rPr>
        <w:t>Performance Comparison</w:t>
      </w:r>
      <w:r w:rsidRPr="00E750FB">
        <w:rPr>
          <w:rFonts w:ascii="Arial" w:hAnsi="Arial" w:cs="Arial"/>
          <w:sz w:val="28"/>
          <w:szCs w:val="28"/>
        </w:rPr>
        <w:t>: By comparing the stock prices, we can identify which banks have performed better or worse relative to their peers.</w:t>
      </w:r>
    </w:p>
    <w:p w14:paraId="747528BB" w14:textId="77777777" w:rsidR="00E750FB" w:rsidRPr="00E750FB" w:rsidRDefault="00E750FB" w:rsidP="00E750FB">
      <w:pPr>
        <w:numPr>
          <w:ilvl w:val="0"/>
          <w:numId w:val="4"/>
        </w:numPr>
        <w:rPr>
          <w:rFonts w:ascii="Arial" w:hAnsi="Arial" w:cs="Arial"/>
          <w:sz w:val="28"/>
          <w:szCs w:val="28"/>
        </w:rPr>
      </w:pPr>
      <w:r w:rsidRPr="00E750FB">
        <w:rPr>
          <w:rFonts w:ascii="Arial" w:hAnsi="Arial" w:cs="Arial"/>
          <w:b/>
          <w:bCs/>
          <w:sz w:val="28"/>
          <w:szCs w:val="28"/>
        </w:rPr>
        <w:t>Market Sentiment</w:t>
      </w:r>
      <w:r w:rsidRPr="00E750FB">
        <w:rPr>
          <w:rFonts w:ascii="Arial" w:hAnsi="Arial" w:cs="Arial"/>
          <w:sz w:val="28"/>
          <w:szCs w:val="28"/>
        </w:rPr>
        <w:t>: Significant price movements can indicate market sentiment, investor confidence, and reactions to economic events or bank-specific news.</w:t>
      </w:r>
    </w:p>
    <w:p w14:paraId="4DA87FAD" w14:textId="77777777" w:rsidR="00E750FB" w:rsidRPr="00E750FB" w:rsidRDefault="00E750FB" w:rsidP="00E750FB">
      <w:pPr>
        <w:numPr>
          <w:ilvl w:val="0"/>
          <w:numId w:val="4"/>
        </w:numPr>
        <w:rPr>
          <w:rFonts w:ascii="Arial" w:hAnsi="Arial" w:cs="Arial"/>
          <w:sz w:val="28"/>
          <w:szCs w:val="28"/>
        </w:rPr>
      </w:pPr>
      <w:r w:rsidRPr="00E750FB">
        <w:rPr>
          <w:rFonts w:ascii="Arial" w:hAnsi="Arial" w:cs="Arial"/>
          <w:b/>
          <w:bCs/>
          <w:sz w:val="28"/>
          <w:szCs w:val="28"/>
        </w:rPr>
        <w:t>Investment Decisions</w:t>
      </w:r>
      <w:r w:rsidRPr="00E750FB">
        <w:rPr>
          <w:rFonts w:ascii="Arial" w:hAnsi="Arial" w:cs="Arial"/>
          <w:sz w:val="28"/>
          <w:szCs w:val="28"/>
        </w:rPr>
        <w:t>: Investors can use this information to make informed decisions about buying, holding, or selling stocks.</w:t>
      </w:r>
    </w:p>
    <w:p w14:paraId="49E4B931" w14:textId="77777777" w:rsidR="00E67F5F" w:rsidRDefault="00E67F5F" w:rsidP="00BC16A4">
      <w:pPr>
        <w:rPr>
          <w:rFonts w:ascii="Arial" w:hAnsi="Arial" w:cs="Arial"/>
          <w:sz w:val="28"/>
          <w:szCs w:val="28"/>
        </w:rPr>
      </w:pPr>
    </w:p>
    <w:p w14:paraId="5B0D9AAD" w14:textId="77777777" w:rsidR="00E67F5F" w:rsidRDefault="00E67F5F" w:rsidP="00BC16A4">
      <w:pPr>
        <w:rPr>
          <w:rFonts w:ascii="Arial" w:hAnsi="Arial" w:cs="Arial"/>
          <w:sz w:val="28"/>
          <w:szCs w:val="28"/>
        </w:rPr>
      </w:pPr>
    </w:p>
    <w:p w14:paraId="2B53E355" w14:textId="77777777" w:rsidR="00E67F5F" w:rsidRDefault="00E67F5F" w:rsidP="00BC16A4">
      <w:pPr>
        <w:rPr>
          <w:rFonts w:ascii="Arial" w:hAnsi="Arial" w:cs="Arial"/>
          <w:sz w:val="28"/>
          <w:szCs w:val="28"/>
        </w:rPr>
      </w:pPr>
    </w:p>
    <w:p w14:paraId="0B86130F" w14:textId="77777777" w:rsidR="00E67F5F" w:rsidRDefault="00E67F5F" w:rsidP="00BC16A4">
      <w:pPr>
        <w:rPr>
          <w:rFonts w:ascii="Arial" w:hAnsi="Arial" w:cs="Arial"/>
          <w:sz w:val="28"/>
          <w:szCs w:val="28"/>
        </w:rPr>
      </w:pPr>
    </w:p>
    <w:p w14:paraId="47745A71" w14:textId="77777777" w:rsidR="00E67F5F" w:rsidRDefault="00E67F5F" w:rsidP="00BC16A4">
      <w:pPr>
        <w:rPr>
          <w:rFonts w:ascii="Arial" w:hAnsi="Arial" w:cs="Arial"/>
          <w:sz w:val="28"/>
          <w:szCs w:val="28"/>
        </w:rPr>
      </w:pPr>
    </w:p>
    <w:p w14:paraId="5E0E5A9C" w14:textId="77777777" w:rsidR="00E67F5F" w:rsidRDefault="00E67F5F" w:rsidP="00BC16A4">
      <w:pPr>
        <w:rPr>
          <w:rFonts w:ascii="Arial" w:hAnsi="Arial" w:cs="Arial"/>
          <w:sz w:val="28"/>
          <w:szCs w:val="28"/>
        </w:rPr>
      </w:pPr>
    </w:p>
    <w:p w14:paraId="67D1BECE" w14:textId="2DE5A597" w:rsidR="00E750FB" w:rsidRPr="00E67F5F" w:rsidRDefault="00E750FB" w:rsidP="00BC16A4">
      <w:pPr>
        <w:rPr>
          <w:rFonts w:ascii="Arial" w:hAnsi="Arial" w:cs="Arial"/>
          <w:sz w:val="28"/>
          <w:szCs w:val="28"/>
        </w:rPr>
      </w:pPr>
      <w:r w:rsidRPr="00E67F5F">
        <w:rPr>
          <w:rFonts w:ascii="Arial" w:hAnsi="Arial" w:cs="Arial"/>
          <w:b/>
          <w:bCs/>
          <w:sz w:val="28"/>
          <w:szCs w:val="28"/>
        </w:rPr>
        <w:lastRenderedPageBreak/>
        <w:t>Graph 1.</w:t>
      </w:r>
      <w:r w:rsidRPr="00E67F5F">
        <w:rPr>
          <w:rFonts w:ascii="Arial" w:hAnsi="Arial" w:cs="Arial"/>
          <w:b/>
          <w:bCs/>
          <w:sz w:val="28"/>
          <w:szCs w:val="28"/>
        </w:rPr>
        <w:t>B</w:t>
      </w:r>
      <w:r w:rsidRPr="00E67F5F">
        <w:rPr>
          <w:rFonts w:ascii="Arial" w:hAnsi="Arial" w:cs="Arial"/>
          <w:b/>
          <w:bCs/>
          <w:sz w:val="28"/>
          <w:szCs w:val="28"/>
        </w:rPr>
        <w:t>:</w:t>
      </w:r>
      <w:r w:rsidRPr="00E67F5F">
        <w:rPr>
          <w:rFonts w:ascii="Arial" w:hAnsi="Arial" w:cs="Arial"/>
          <w:sz w:val="28"/>
          <w:szCs w:val="28"/>
        </w:rPr>
        <w:t xml:space="preserve"> Wealth Management Operations: Market Capitalization</w:t>
      </w:r>
      <w:r w:rsidRPr="00E67F5F">
        <w:rPr>
          <w:rFonts w:ascii="Arial" w:hAnsi="Arial" w:cs="Arial"/>
          <w:sz w:val="28"/>
          <w:szCs w:val="28"/>
        </w:rPr>
        <w:t>:</w:t>
      </w:r>
    </w:p>
    <w:p w14:paraId="6CD3911D" w14:textId="6657F0A2" w:rsidR="00E750FB" w:rsidRPr="00E67F5F" w:rsidRDefault="00E750FB" w:rsidP="00E750FB">
      <w:pPr>
        <w:rPr>
          <w:rFonts w:ascii="Arial" w:hAnsi="Arial" w:cs="Arial"/>
          <w:sz w:val="28"/>
          <w:szCs w:val="28"/>
        </w:rPr>
      </w:pPr>
      <w:r w:rsidRPr="00E67F5F">
        <w:rPr>
          <w:rFonts w:ascii="Arial" w:hAnsi="Arial" w:cs="Arial"/>
          <w:noProof/>
          <w:sz w:val="28"/>
          <w:szCs w:val="28"/>
        </w:rPr>
        <w:drawing>
          <wp:inline distT="0" distB="0" distL="0" distR="0" wp14:anchorId="548261A9" wp14:editId="1B1609D9">
            <wp:extent cx="5731510" cy="3473450"/>
            <wp:effectExtent l="0" t="0" r="2540" b="0"/>
            <wp:docPr id="16491443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73450"/>
                    </a:xfrm>
                    <a:prstGeom prst="rect">
                      <a:avLst/>
                    </a:prstGeom>
                    <a:noFill/>
                    <a:ln>
                      <a:noFill/>
                    </a:ln>
                  </pic:spPr>
                </pic:pic>
              </a:graphicData>
            </a:graphic>
          </wp:inline>
        </w:drawing>
      </w:r>
      <w:r w:rsidRPr="00E67F5F">
        <w:rPr>
          <w:rFonts w:ascii="Arial" w:hAnsi="Arial" w:cs="Arial"/>
          <w:b/>
          <w:bCs/>
          <w:sz w:val="28"/>
          <w:szCs w:val="28"/>
        </w:rPr>
        <w:t>Inference</w:t>
      </w:r>
      <w:r w:rsidRPr="00E67F5F">
        <w:rPr>
          <w:rFonts w:ascii="Arial" w:hAnsi="Arial" w:cs="Arial"/>
          <w:sz w:val="28"/>
          <w:szCs w:val="28"/>
        </w:rPr>
        <w:t>:</w:t>
      </w:r>
    </w:p>
    <w:p w14:paraId="0B72F841" w14:textId="77777777" w:rsidR="00E750FB" w:rsidRPr="00E750FB" w:rsidRDefault="00E750FB" w:rsidP="00E750FB">
      <w:pPr>
        <w:numPr>
          <w:ilvl w:val="0"/>
          <w:numId w:val="5"/>
        </w:numPr>
        <w:rPr>
          <w:rFonts w:ascii="Arial" w:hAnsi="Arial" w:cs="Arial"/>
          <w:sz w:val="28"/>
          <w:szCs w:val="28"/>
        </w:rPr>
      </w:pPr>
      <w:r w:rsidRPr="00E750FB">
        <w:rPr>
          <w:rFonts w:ascii="Arial" w:hAnsi="Arial" w:cs="Arial"/>
          <w:b/>
          <w:bCs/>
          <w:sz w:val="28"/>
          <w:szCs w:val="28"/>
        </w:rPr>
        <w:t>Company Valuation</w:t>
      </w:r>
      <w:r w:rsidRPr="00E750FB">
        <w:rPr>
          <w:rFonts w:ascii="Arial" w:hAnsi="Arial" w:cs="Arial"/>
          <w:sz w:val="28"/>
          <w:szCs w:val="28"/>
        </w:rPr>
        <w:t>: Market capitalization represents the total market value of a company's outstanding shares. It provides a snapshot of the bank's size and market value.</w:t>
      </w:r>
    </w:p>
    <w:p w14:paraId="54AA8CAF" w14:textId="77777777" w:rsidR="00E750FB" w:rsidRPr="00E750FB" w:rsidRDefault="00E750FB" w:rsidP="00E750FB">
      <w:pPr>
        <w:numPr>
          <w:ilvl w:val="0"/>
          <w:numId w:val="5"/>
        </w:numPr>
        <w:rPr>
          <w:rFonts w:ascii="Arial" w:hAnsi="Arial" w:cs="Arial"/>
          <w:sz w:val="28"/>
          <w:szCs w:val="28"/>
        </w:rPr>
      </w:pPr>
      <w:r w:rsidRPr="00E750FB">
        <w:rPr>
          <w:rFonts w:ascii="Arial" w:hAnsi="Arial" w:cs="Arial"/>
          <w:b/>
          <w:bCs/>
          <w:sz w:val="28"/>
          <w:szCs w:val="28"/>
        </w:rPr>
        <w:t>Growth Analysis</w:t>
      </w:r>
      <w:r w:rsidRPr="00E750FB">
        <w:rPr>
          <w:rFonts w:ascii="Arial" w:hAnsi="Arial" w:cs="Arial"/>
          <w:sz w:val="28"/>
          <w:szCs w:val="28"/>
        </w:rPr>
        <w:t>: Changes in market capitalization over time can indicate growth or decline in the bank's value, influenced by stock price movements and changes in the number of outstanding shares.</w:t>
      </w:r>
    </w:p>
    <w:p w14:paraId="2DE402D2" w14:textId="77777777" w:rsidR="00E750FB" w:rsidRPr="00E750FB" w:rsidRDefault="00E750FB" w:rsidP="00E750FB">
      <w:pPr>
        <w:numPr>
          <w:ilvl w:val="0"/>
          <w:numId w:val="5"/>
        </w:numPr>
        <w:rPr>
          <w:rFonts w:ascii="Arial" w:hAnsi="Arial" w:cs="Arial"/>
          <w:sz w:val="28"/>
          <w:szCs w:val="28"/>
        </w:rPr>
      </w:pPr>
      <w:r w:rsidRPr="00E750FB">
        <w:rPr>
          <w:rFonts w:ascii="Arial" w:hAnsi="Arial" w:cs="Arial"/>
          <w:b/>
          <w:bCs/>
          <w:sz w:val="28"/>
          <w:szCs w:val="28"/>
        </w:rPr>
        <w:t>Comparative Analysis</w:t>
      </w:r>
      <w:r w:rsidRPr="00E750FB">
        <w:rPr>
          <w:rFonts w:ascii="Arial" w:hAnsi="Arial" w:cs="Arial"/>
          <w:sz w:val="28"/>
          <w:szCs w:val="28"/>
        </w:rPr>
        <w:t>: Comparing market capitalizations helps identify the relative size and market position of each bank within the industry.</w:t>
      </w:r>
    </w:p>
    <w:p w14:paraId="71C1368F" w14:textId="77777777" w:rsidR="00E67F5F" w:rsidRDefault="00E67F5F" w:rsidP="00722852">
      <w:pPr>
        <w:rPr>
          <w:rFonts w:ascii="Arial" w:hAnsi="Arial" w:cs="Arial"/>
          <w:b/>
          <w:bCs/>
          <w:sz w:val="28"/>
          <w:szCs w:val="28"/>
        </w:rPr>
      </w:pPr>
    </w:p>
    <w:p w14:paraId="4F6F08E3" w14:textId="77777777" w:rsidR="00E67F5F" w:rsidRDefault="00E67F5F" w:rsidP="00722852">
      <w:pPr>
        <w:rPr>
          <w:rFonts w:ascii="Arial" w:hAnsi="Arial" w:cs="Arial"/>
          <w:b/>
          <w:bCs/>
          <w:sz w:val="28"/>
          <w:szCs w:val="28"/>
        </w:rPr>
      </w:pPr>
    </w:p>
    <w:p w14:paraId="3FBB096A" w14:textId="77777777" w:rsidR="00E67F5F" w:rsidRDefault="00E67F5F" w:rsidP="00722852">
      <w:pPr>
        <w:rPr>
          <w:rFonts w:ascii="Arial" w:hAnsi="Arial" w:cs="Arial"/>
          <w:b/>
          <w:bCs/>
          <w:sz w:val="28"/>
          <w:szCs w:val="28"/>
        </w:rPr>
      </w:pPr>
    </w:p>
    <w:p w14:paraId="0C22E557" w14:textId="77777777" w:rsidR="00E67F5F" w:rsidRDefault="00E67F5F" w:rsidP="00722852">
      <w:pPr>
        <w:rPr>
          <w:rFonts w:ascii="Arial" w:hAnsi="Arial" w:cs="Arial"/>
          <w:b/>
          <w:bCs/>
          <w:sz w:val="28"/>
          <w:szCs w:val="28"/>
        </w:rPr>
      </w:pPr>
    </w:p>
    <w:p w14:paraId="6A0877A5" w14:textId="77777777" w:rsidR="00E67F5F" w:rsidRDefault="00E67F5F" w:rsidP="00722852">
      <w:pPr>
        <w:rPr>
          <w:rFonts w:ascii="Arial" w:hAnsi="Arial" w:cs="Arial"/>
          <w:b/>
          <w:bCs/>
          <w:sz w:val="28"/>
          <w:szCs w:val="28"/>
        </w:rPr>
      </w:pPr>
    </w:p>
    <w:p w14:paraId="6E4B9CAA" w14:textId="77777777" w:rsidR="00E67F5F" w:rsidRDefault="00E67F5F" w:rsidP="00722852">
      <w:pPr>
        <w:rPr>
          <w:rFonts w:ascii="Arial" w:hAnsi="Arial" w:cs="Arial"/>
          <w:b/>
          <w:bCs/>
          <w:sz w:val="28"/>
          <w:szCs w:val="28"/>
        </w:rPr>
      </w:pPr>
    </w:p>
    <w:p w14:paraId="07A16571" w14:textId="70AE6AFF" w:rsidR="00722852" w:rsidRPr="00E67F5F" w:rsidRDefault="00722852" w:rsidP="00722852">
      <w:pPr>
        <w:rPr>
          <w:rFonts w:ascii="Arial" w:hAnsi="Arial" w:cs="Arial"/>
          <w:sz w:val="28"/>
          <w:szCs w:val="28"/>
        </w:rPr>
      </w:pPr>
      <w:r w:rsidRPr="00E67F5F">
        <w:rPr>
          <w:rFonts w:ascii="Arial" w:hAnsi="Arial" w:cs="Arial"/>
          <w:b/>
          <w:bCs/>
          <w:sz w:val="28"/>
          <w:szCs w:val="28"/>
        </w:rPr>
        <w:lastRenderedPageBreak/>
        <w:t>Graph 1.</w:t>
      </w:r>
      <w:r w:rsidRPr="00E67F5F">
        <w:rPr>
          <w:rFonts w:ascii="Arial" w:hAnsi="Arial" w:cs="Arial"/>
          <w:b/>
          <w:bCs/>
          <w:sz w:val="28"/>
          <w:szCs w:val="28"/>
        </w:rPr>
        <w:t>C</w:t>
      </w:r>
      <w:r w:rsidRPr="00E67F5F">
        <w:rPr>
          <w:rFonts w:ascii="Arial" w:hAnsi="Arial" w:cs="Arial"/>
          <w:b/>
          <w:bCs/>
          <w:sz w:val="28"/>
          <w:szCs w:val="28"/>
        </w:rPr>
        <w:t>:</w:t>
      </w:r>
      <w:r w:rsidRPr="00E67F5F">
        <w:rPr>
          <w:rFonts w:ascii="Arial" w:hAnsi="Arial" w:cs="Arial"/>
          <w:sz w:val="28"/>
          <w:szCs w:val="28"/>
        </w:rPr>
        <w:t xml:space="preserve"> Wealth Management Operations: Price-to-Earnings (P/E) Ratio:</w:t>
      </w:r>
    </w:p>
    <w:p w14:paraId="5703DC28" w14:textId="263338B7" w:rsidR="00E80718" w:rsidRPr="00E67F5F" w:rsidRDefault="00722852" w:rsidP="00E80718">
      <w:pPr>
        <w:rPr>
          <w:rFonts w:ascii="Arial" w:hAnsi="Arial" w:cs="Arial"/>
          <w:sz w:val="28"/>
          <w:szCs w:val="28"/>
        </w:rPr>
      </w:pPr>
      <w:r w:rsidRPr="00E67F5F">
        <w:rPr>
          <w:rFonts w:ascii="Arial" w:hAnsi="Arial" w:cs="Arial"/>
          <w:noProof/>
          <w:sz w:val="28"/>
          <w:szCs w:val="28"/>
        </w:rPr>
        <w:drawing>
          <wp:inline distT="0" distB="0" distL="0" distR="0" wp14:anchorId="258598C3" wp14:editId="4CCCDB23">
            <wp:extent cx="5731510" cy="3543300"/>
            <wp:effectExtent l="0" t="0" r="2540" b="0"/>
            <wp:docPr id="16480550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noFill/>
                    </a:ln>
                  </pic:spPr>
                </pic:pic>
              </a:graphicData>
            </a:graphic>
          </wp:inline>
        </w:drawing>
      </w:r>
      <w:r w:rsidR="00E80718" w:rsidRPr="00E67F5F">
        <w:rPr>
          <w:rFonts w:ascii="Arial" w:hAnsi="Arial" w:cs="Arial"/>
          <w:b/>
          <w:bCs/>
          <w:sz w:val="28"/>
          <w:szCs w:val="28"/>
        </w:rPr>
        <w:t>Inference</w:t>
      </w:r>
      <w:r w:rsidR="00E80718" w:rsidRPr="00E67F5F">
        <w:rPr>
          <w:rFonts w:ascii="Arial" w:hAnsi="Arial" w:cs="Arial"/>
          <w:sz w:val="28"/>
          <w:szCs w:val="28"/>
        </w:rPr>
        <w:t>:</w:t>
      </w:r>
    </w:p>
    <w:p w14:paraId="4A21CDA9" w14:textId="77777777" w:rsidR="00E80718" w:rsidRPr="00E80718" w:rsidRDefault="00E80718" w:rsidP="00E80718">
      <w:pPr>
        <w:numPr>
          <w:ilvl w:val="0"/>
          <w:numId w:val="8"/>
        </w:numPr>
        <w:rPr>
          <w:rFonts w:ascii="Arial" w:hAnsi="Arial" w:cs="Arial"/>
          <w:sz w:val="28"/>
          <w:szCs w:val="28"/>
        </w:rPr>
      </w:pPr>
      <w:r w:rsidRPr="00E80718">
        <w:rPr>
          <w:rFonts w:ascii="Arial" w:hAnsi="Arial" w:cs="Arial"/>
          <w:b/>
          <w:bCs/>
          <w:sz w:val="28"/>
          <w:szCs w:val="28"/>
        </w:rPr>
        <w:t>Valuation Metric</w:t>
      </w:r>
      <w:r w:rsidRPr="00E80718">
        <w:rPr>
          <w:rFonts w:ascii="Arial" w:hAnsi="Arial" w:cs="Arial"/>
          <w:sz w:val="28"/>
          <w:szCs w:val="28"/>
        </w:rPr>
        <w:t>: The P/E ratio is a common valuation metric that compares a company's stock price to its earnings per share (EPS). It indicates how much investors are willing to pay for each dollar of earnings.</w:t>
      </w:r>
    </w:p>
    <w:p w14:paraId="0DDBB227" w14:textId="77777777" w:rsidR="00E80718" w:rsidRPr="00E80718" w:rsidRDefault="00E80718" w:rsidP="00E80718">
      <w:pPr>
        <w:numPr>
          <w:ilvl w:val="0"/>
          <w:numId w:val="8"/>
        </w:numPr>
        <w:rPr>
          <w:rFonts w:ascii="Arial" w:hAnsi="Arial" w:cs="Arial"/>
          <w:sz w:val="28"/>
          <w:szCs w:val="28"/>
        </w:rPr>
      </w:pPr>
      <w:r w:rsidRPr="00E80718">
        <w:rPr>
          <w:rFonts w:ascii="Arial" w:hAnsi="Arial" w:cs="Arial"/>
          <w:b/>
          <w:bCs/>
          <w:sz w:val="28"/>
          <w:szCs w:val="28"/>
        </w:rPr>
        <w:t>Growth Expectations</w:t>
      </w:r>
      <w:r w:rsidRPr="00E80718">
        <w:rPr>
          <w:rFonts w:ascii="Arial" w:hAnsi="Arial" w:cs="Arial"/>
          <w:sz w:val="28"/>
          <w:szCs w:val="28"/>
        </w:rPr>
        <w:t>: A higher P/E ratio can indicate higher growth expectations, while a lower P/E ratio may suggest undervaluation or lower growth prospects.</w:t>
      </w:r>
    </w:p>
    <w:p w14:paraId="404E28E8" w14:textId="77777777" w:rsidR="00E80718" w:rsidRPr="00E80718" w:rsidRDefault="00E80718" w:rsidP="00E80718">
      <w:pPr>
        <w:numPr>
          <w:ilvl w:val="0"/>
          <w:numId w:val="8"/>
        </w:numPr>
        <w:rPr>
          <w:rFonts w:ascii="Arial" w:hAnsi="Arial" w:cs="Arial"/>
          <w:sz w:val="28"/>
          <w:szCs w:val="28"/>
        </w:rPr>
      </w:pPr>
      <w:r w:rsidRPr="00E80718">
        <w:rPr>
          <w:rFonts w:ascii="Arial" w:hAnsi="Arial" w:cs="Arial"/>
          <w:b/>
          <w:bCs/>
          <w:sz w:val="28"/>
          <w:szCs w:val="28"/>
        </w:rPr>
        <w:t>Comparative Valuation</w:t>
      </w:r>
      <w:r w:rsidRPr="00E80718">
        <w:rPr>
          <w:rFonts w:ascii="Arial" w:hAnsi="Arial" w:cs="Arial"/>
          <w:sz w:val="28"/>
          <w:szCs w:val="28"/>
        </w:rPr>
        <w:t>: By comparing P/E ratios, investors can assess the relative valuation of each bank and identify potential investment opportunities.</w:t>
      </w:r>
    </w:p>
    <w:p w14:paraId="53E6B3B9" w14:textId="1184229A" w:rsidR="00E80718" w:rsidRPr="00E67F5F" w:rsidRDefault="00E80718" w:rsidP="00722852">
      <w:pPr>
        <w:rPr>
          <w:rFonts w:ascii="Arial" w:hAnsi="Arial" w:cs="Arial"/>
          <w:sz w:val="28"/>
          <w:szCs w:val="28"/>
        </w:rPr>
      </w:pPr>
    </w:p>
    <w:p w14:paraId="01BAD5A4" w14:textId="77777777" w:rsidR="00722852" w:rsidRPr="00E67F5F" w:rsidRDefault="00722852" w:rsidP="00BC16A4">
      <w:pPr>
        <w:rPr>
          <w:rFonts w:ascii="Arial" w:hAnsi="Arial" w:cs="Arial"/>
          <w:b/>
          <w:bCs/>
          <w:sz w:val="28"/>
          <w:szCs w:val="28"/>
        </w:rPr>
      </w:pPr>
    </w:p>
    <w:p w14:paraId="3DFD7917" w14:textId="77777777" w:rsidR="00BC16A4" w:rsidRPr="00E67F5F" w:rsidRDefault="00BC16A4" w:rsidP="00BC16A4">
      <w:pPr>
        <w:rPr>
          <w:rFonts w:ascii="Arial" w:hAnsi="Arial" w:cs="Arial"/>
          <w:b/>
          <w:bCs/>
          <w:sz w:val="28"/>
          <w:szCs w:val="28"/>
        </w:rPr>
      </w:pPr>
    </w:p>
    <w:p w14:paraId="6EC0E26E" w14:textId="77777777" w:rsidR="00BC16A4" w:rsidRPr="00E67F5F" w:rsidRDefault="00BC16A4" w:rsidP="00BC16A4">
      <w:pPr>
        <w:rPr>
          <w:rFonts w:ascii="Arial" w:hAnsi="Arial" w:cs="Arial"/>
          <w:b/>
          <w:bCs/>
          <w:sz w:val="28"/>
          <w:szCs w:val="28"/>
        </w:rPr>
      </w:pPr>
    </w:p>
    <w:p w14:paraId="4F123FDD" w14:textId="77777777" w:rsidR="00BC16A4" w:rsidRPr="00E67F5F" w:rsidRDefault="00BC16A4" w:rsidP="00BC16A4">
      <w:pPr>
        <w:rPr>
          <w:rFonts w:ascii="Arial" w:hAnsi="Arial" w:cs="Arial"/>
          <w:b/>
          <w:bCs/>
          <w:sz w:val="28"/>
          <w:szCs w:val="28"/>
        </w:rPr>
      </w:pPr>
    </w:p>
    <w:p w14:paraId="07FE04C6" w14:textId="77777777" w:rsidR="00E67F5F" w:rsidRDefault="00E67F5F" w:rsidP="00BC16A4">
      <w:pPr>
        <w:rPr>
          <w:rFonts w:ascii="Arial" w:hAnsi="Arial" w:cs="Arial"/>
          <w:b/>
          <w:bCs/>
          <w:sz w:val="28"/>
          <w:szCs w:val="28"/>
        </w:rPr>
      </w:pPr>
    </w:p>
    <w:p w14:paraId="1E516AB6" w14:textId="234422F6" w:rsidR="00BC16A4" w:rsidRPr="00BC16A4" w:rsidRDefault="00BC16A4" w:rsidP="00BC16A4">
      <w:pPr>
        <w:rPr>
          <w:rFonts w:ascii="Arial" w:hAnsi="Arial" w:cs="Arial"/>
          <w:b/>
          <w:bCs/>
          <w:sz w:val="28"/>
          <w:szCs w:val="28"/>
        </w:rPr>
      </w:pPr>
      <w:r w:rsidRPr="00BC16A4">
        <w:rPr>
          <w:rFonts w:ascii="Arial" w:hAnsi="Arial" w:cs="Arial"/>
          <w:b/>
          <w:bCs/>
          <w:sz w:val="28"/>
          <w:szCs w:val="28"/>
        </w:rPr>
        <w:lastRenderedPageBreak/>
        <w:t>2. Treasury Management Services</w:t>
      </w:r>
      <w:r w:rsidRPr="00E67F5F">
        <w:rPr>
          <w:rFonts w:ascii="Arial" w:hAnsi="Arial" w:cs="Arial"/>
          <w:b/>
          <w:bCs/>
          <w:sz w:val="28"/>
          <w:szCs w:val="28"/>
        </w:rPr>
        <w:t>:</w:t>
      </w:r>
    </w:p>
    <w:p w14:paraId="016443F1" w14:textId="77777777" w:rsidR="00BC16A4" w:rsidRPr="00E67F5F" w:rsidRDefault="00BC16A4" w:rsidP="00BC16A4">
      <w:pPr>
        <w:rPr>
          <w:rFonts w:ascii="Arial" w:hAnsi="Arial" w:cs="Arial"/>
          <w:sz w:val="28"/>
          <w:szCs w:val="28"/>
        </w:rPr>
      </w:pPr>
      <w:r w:rsidRPr="00BC16A4">
        <w:rPr>
          <w:rFonts w:ascii="Arial" w:hAnsi="Arial" w:cs="Arial"/>
          <w:b/>
          <w:bCs/>
          <w:sz w:val="28"/>
          <w:szCs w:val="28"/>
        </w:rPr>
        <w:t>Introduction</w:t>
      </w:r>
      <w:r w:rsidRPr="00BC16A4">
        <w:rPr>
          <w:rFonts w:ascii="Arial" w:hAnsi="Arial" w:cs="Arial"/>
          <w:sz w:val="28"/>
          <w:szCs w:val="28"/>
        </w:rPr>
        <w:t>:</w:t>
      </w:r>
      <w:r w:rsidRPr="00BC16A4">
        <w:rPr>
          <w:rFonts w:ascii="Arial" w:hAnsi="Arial" w:cs="Arial"/>
          <w:sz w:val="28"/>
          <w:szCs w:val="28"/>
        </w:rPr>
        <w:br/>
        <w:t>Treasury management services involve managing a company's liquidity, funding, and financial risk. These services are crucial for ensuring that a company has sufficient cash flow to meet its obligations, optimize its financial resources, and manage risks associated with currency fluctuations, interest rates, and other financial variables. </w:t>
      </w:r>
    </w:p>
    <w:p w14:paraId="347780B0" w14:textId="7F9B3C46" w:rsidR="00BC16A4" w:rsidRPr="00BC16A4" w:rsidRDefault="00BC16A4" w:rsidP="00BC16A4">
      <w:pPr>
        <w:rPr>
          <w:rFonts w:ascii="Arial" w:hAnsi="Arial" w:cs="Arial"/>
          <w:sz w:val="28"/>
          <w:szCs w:val="28"/>
        </w:rPr>
      </w:pPr>
      <w:r w:rsidRPr="00BC16A4">
        <w:rPr>
          <w:rFonts w:ascii="Arial" w:hAnsi="Arial" w:cs="Arial"/>
          <w:b/>
          <w:bCs/>
          <w:sz w:val="28"/>
          <w:szCs w:val="28"/>
        </w:rPr>
        <w:t>Basic Terminologies</w:t>
      </w:r>
      <w:r w:rsidRPr="00BC16A4">
        <w:rPr>
          <w:rFonts w:ascii="Arial" w:hAnsi="Arial" w:cs="Arial"/>
          <w:sz w:val="28"/>
          <w:szCs w:val="28"/>
        </w:rPr>
        <w:t>:</w:t>
      </w:r>
    </w:p>
    <w:p w14:paraId="6790BF18" w14:textId="77777777" w:rsidR="00BC16A4" w:rsidRPr="00BC16A4" w:rsidRDefault="00BC16A4" w:rsidP="00BC16A4">
      <w:pPr>
        <w:numPr>
          <w:ilvl w:val="0"/>
          <w:numId w:val="2"/>
        </w:numPr>
        <w:rPr>
          <w:rFonts w:ascii="Arial" w:hAnsi="Arial" w:cs="Arial"/>
          <w:sz w:val="28"/>
          <w:szCs w:val="28"/>
        </w:rPr>
      </w:pPr>
      <w:r w:rsidRPr="00BC16A4">
        <w:rPr>
          <w:rFonts w:ascii="Arial" w:hAnsi="Arial" w:cs="Arial"/>
          <w:b/>
          <w:bCs/>
          <w:sz w:val="28"/>
          <w:szCs w:val="28"/>
        </w:rPr>
        <w:t>Liquidity Management</w:t>
      </w:r>
      <w:r w:rsidRPr="00BC16A4">
        <w:rPr>
          <w:rFonts w:ascii="Arial" w:hAnsi="Arial" w:cs="Arial"/>
          <w:sz w:val="28"/>
          <w:szCs w:val="28"/>
        </w:rPr>
        <w:t>: The process of ensuring that a company has enough cash or liquid assets to meet its short-term obligations.</w:t>
      </w:r>
    </w:p>
    <w:p w14:paraId="36FFEFC9" w14:textId="77777777" w:rsidR="00BC16A4" w:rsidRPr="00BC16A4" w:rsidRDefault="00BC16A4" w:rsidP="00BC16A4">
      <w:pPr>
        <w:numPr>
          <w:ilvl w:val="0"/>
          <w:numId w:val="2"/>
        </w:numPr>
        <w:rPr>
          <w:rFonts w:ascii="Arial" w:hAnsi="Arial" w:cs="Arial"/>
          <w:sz w:val="28"/>
          <w:szCs w:val="28"/>
        </w:rPr>
      </w:pPr>
      <w:r w:rsidRPr="00BC16A4">
        <w:rPr>
          <w:rFonts w:ascii="Arial" w:hAnsi="Arial" w:cs="Arial"/>
          <w:b/>
          <w:bCs/>
          <w:sz w:val="28"/>
          <w:szCs w:val="28"/>
        </w:rPr>
        <w:t>Cash Flow Forecasting</w:t>
      </w:r>
      <w:r w:rsidRPr="00BC16A4">
        <w:rPr>
          <w:rFonts w:ascii="Arial" w:hAnsi="Arial" w:cs="Arial"/>
          <w:sz w:val="28"/>
          <w:szCs w:val="28"/>
        </w:rPr>
        <w:t>: Predicting the future cash inflows and outflows to ensure that a company can meet its financial obligations.</w:t>
      </w:r>
    </w:p>
    <w:p w14:paraId="139EB35C" w14:textId="77777777" w:rsidR="00BC16A4" w:rsidRPr="00BC16A4" w:rsidRDefault="00BC16A4" w:rsidP="00BC16A4">
      <w:pPr>
        <w:numPr>
          <w:ilvl w:val="0"/>
          <w:numId w:val="2"/>
        </w:numPr>
        <w:rPr>
          <w:rFonts w:ascii="Arial" w:hAnsi="Arial" w:cs="Arial"/>
          <w:sz w:val="28"/>
          <w:szCs w:val="28"/>
        </w:rPr>
      </w:pPr>
      <w:r w:rsidRPr="00BC16A4">
        <w:rPr>
          <w:rFonts w:ascii="Arial" w:hAnsi="Arial" w:cs="Arial"/>
          <w:b/>
          <w:bCs/>
          <w:sz w:val="28"/>
          <w:szCs w:val="28"/>
        </w:rPr>
        <w:t>Working Capital</w:t>
      </w:r>
      <w:r w:rsidRPr="00BC16A4">
        <w:rPr>
          <w:rFonts w:ascii="Arial" w:hAnsi="Arial" w:cs="Arial"/>
          <w:sz w:val="28"/>
          <w:szCs w:val="28"/>
        </w:rPr>
        <w:t>: The difference between a company's current assets and current liabilities, representing the short-term financial health of the company.</w:t>
      </w:r>
    </w:p>
    <w:p w14:paraId="4A5392E2" w14:textId="77777777" w:rsidR="00BC16A4" w:rsidRPr="00BC16A4" w:rsidRDefault="00BC16A4" w:rsidP="00BC16A4">
      <w:pPr>
        <w:numPr>
          <w:ilvl w:val="0"/>
          <w:numId w:val="2"/>
        </w:numPr>
        <w:rPr>
          <w:rFonts w:ascii="Arial" w:hAnsi="Arial" w:cs="Arial"/>
          <w:sz w:val="28"/>
          <w:szCs w:val="28"/>
        </w:rPr>
      </w:pPr>
      <w:r w:rsidRPr="00BC16A4">
        <w:rPr>
          <w:rFonts w:ascii="Arial" w:hAnsi="Arial" w:cs="Arial"/>
          <w:b/>
          <w:bCs/>
          <w:sz w:val="28"/>
          <w:szCs w:val="28"/>
        </w:rPr>
        <w:t>Treasury Bills (T-Bills)</w:t>
      </w:r>
      <w:r w:rsidRPr="00BC16A4">
        <w:rPr>
          <w:rFonts w:ascii="Arial" w:hAnsi="Arial" w:cs="Arial"/>
          <w:sz w:val="28"/>
          <w:szCs w:val="28"/>
        </w:rPr>
        <w:t>: Short-term government securities with maturities ranging from a few days to one year, used for managing short-term liquidity.</w:t>
      </w:r>
    </w:p>
    <w:p w14:paraId="0336C65E" w14:textId="77777777" w:rsidR="00BC16A4" w:rsidRPr="00BC16A4" w:rsidRDefault="00BC16A4" w:rsidP="00BC16A4">
      <w:pPr>
        <w:numPr>
          <w:ilvl w:val="0"/>
          <w:numId w:val="2"/>
        </w:numPr>
        <w:rPr>
          <w:rFonts w:ascii="Arial" w:hAnsi="Arial" w:cs="Arial"/>
          <w:sz w:val="28"/>
          <w:szCs w:val="28"/>
        </w:rPr>
      </w:pPr>
      <w:r w:rsidRPr="00BC16A4">
        <w:rPr>
          <w:rFonts w:ascii="Arial" w:hAnsi="Arial" w:cs="Arial"/>
          <w:b/>
          <w:bCs/>
          <w:sz w:val="28"/>
          <w:szCs w:val="28"/>
        </w:rPr>
        <w:t>Commercial Paper</w:t>
      </w:r>
      <w:r w:rsidRPr="00BC16A4">
        <w:rPr>
          <w:rFonts w:ascii="Arial" w:hAnsi="Arial" w:cs="Arial"/>
          <w:sz w:val="28"/>
          <w:szCs w:val="28"/>
        </w:rPr>
        <w:t>: An unsecured, short-term debt instrument issued by corporations to meet short-term liabilities.</w:t>
      </w:r>
    </w:p>
    <w:p w14:paraId="6764A497" w14:textId="77777777" w:rsidR="00BC16A4" w:rsidRPr="00BC16A4" w:rsidRDefault="00BC16A4" w:rsidP="00BC16A4">
      <w:pPr>
        <w:numPr>
          <w:ilvl w:val="0"/>
          <w:numId w:val="2"/>
        </w:numPr>
        <w:rPr>
          <w:rFonts w:ascii="Arial" w:hAnsi="Arial" w:cs="Arial"/>
          <w:sz w:val="28"/>
          <w:szCs w:val="28"/>
        </w:rPr>
      </w:pPr>
      <w:r w:rsidRPr="00BC16A4">
        <w:rPr>
          <w:rFonts w:ascii="Arial" w:hAnsi="Arial" w:cs="Arial"/>
          <w:b/>
          <w:bCs/>
          <w:sz w:val="28"/>
          <w:szCs w:val="28"/>
        </w:rPr>
        <w:t>Foreign Exchange (FX) Risk</w:t>
      </w:r>
      <w:r w:rsidRPr="00BC16A4">
        <w:rPr>
          <w:rFonts w:ascii="Arial" w:hAnsi="Arial" w:cs="Arial"/>
          <w:sz w:val="28"/>
          <w:szCs w:val="28"/>
        </w:rPr>
        <w:t>: The risk of loss due to changes in exchange rates affecting the value of foreign currency transactions.</w:t>
      </w:r>
    </w:p>
    <w:p w14:paraId="1B0B27A7" w14:textId="77777777" w:rsidR="00BC16A4" w:rsidRPr="00BC16A4" w:rsidRDefault="00BC16A4" w:rsidP="00BC16A4">
      <w:pPr>
        <w:numPr>
          <w:ilvl w:val="0"/>
          <w:numId w:val="2"/>
        </w:numPr>
        <w:rPr>
          <w:rFonts w:ascii="Arial" w:hAnsi="Arial" w:cs="Arial"/>
          <w:sz w:val="28"/>
          <w:szCs w:val="28"/>
        </w:rPr>
      </w:pPr>
      <w:r w:rsidRPr="00BC16A4">
        <w:rPr>
          <w:rFonts w:ascii="Arial" w:hAnsi="Arial" w:cs="Arial"/>
          <w:b/>
          <w:bCs/>
          <w:sz w:val="28"/>
          <w:szCs w:val="28"/>
        </w:rPr>
        <w:t>Interest Rate Risk</w:t>
      </w:r>
      <w:r w:rsidRPr="00BC16A4">
        <w:rPr>
          <w:rFonts w:ascii="Arial" w:hAnsi="Arial" w:cs="Arial"/>
          <w:sz w:val="28"/>
          <w:szCs w:val="28"/>
        </w:rPr>
        <w:t>: The risk that changes in interest rates will affect the value of financial instruments or the cost of borrowing.</w:t>
      </w:r>
    </w:p>
    <w:p w14:paraId="15FCE047" w14:textId="77777777" w:rsidR="00BC16A4" w:rsidRPr="00BC16A4" w:rsidRDefault="00BC16A4" w:rsidP="00BC16A4">
      <w:pPr>
        <w:numPr>
          <w:ilvl w:val="0"/>
          <w:numId w:val="2"/>
        </w:numPr>
        <w:rPr>
          <w:rFonts w:ascii="Arial" w:hAnsi="Arial" w:cs="Arial"/>
          <w:sz w:val="28"/>
          <w:szCs w:val="28"/>
        </w:rPr>
      </w:pPr>
      <w:r w:rsidRPr="00BC16A4">
        <w:rPr>
          <w:rFonts w:ascii="Arial" w:hAnsi="Arial" w:cs="Arial"/>
          <w:b/>
          <w:bCs/>
          <w:sz w:val="28"/>
          <w:szCs w:val="28"/>
        </w:rPr>
        <w:t>Hedging</w:t>
      </w:r>
      <w:r w:rsidRPr="00BC16A4">
        <w:rPr>
          <w:rFonts w:ascii="Arial" w:hAnsi="Arial" w:cs="Arial"/>
          <w:sz w:val="28"/>
          <w:szCs w:val="28"/>
        </w:rPr>
        <w:t>: Using financial instruments or strategies to offset potential losses in investments or transactions.</w:t>
      </w:r>
    </w:p>
    <w:p w14:paraId="0CE686A4" w14:textId="77777777" w:rsidR="00E67F5F" w:rsidRDefault="00E67F5F" w:rsidP="00722852">
      <w:pPr>
        <w:rPr>
          <w:rFonts w:ascii="Arial" w:hAnsi="Arial" w:cs="Arial"/>
          <w:b/>
          <w:bCs/>
          <w:sz w:val="28"/>
          <w:szCs w:val="28"/>
        </w:rPr>
      </w:pPr>
    </w:p>
    <w:p w14:paraId="4C8106B7" w14:textId="77777777" w:rsidR="00E67F5F" w:rsidRDefault="00E67F5F" w:rsidP="00722852">
      <w:pPr>
        <w:rPr>
          <w:rFonts w:ascii="Arial" w:hAnsi="Arial" w:cs="Arial"/>
          <w:b/>
          <w:bCs/>
          <w:sz w:val="28"/>
          <w:szCs w:val="28"/>
        </w:rPr>
      </w:pPr>
    </w:p>
    <w:p w14:paraId="3EB243C9" w14:textId="77777777" w:rsidR="00E67F5F" w:rsidRDefault="00E67F5F" w:rsidP="00722852">
      <w:pPr>
        <w:rPr>
          <w:rFonts w:ascii="Arial" w:hAnsi="Arial" w:cs="Arial"/>
          <w:b/>
          <w:bCs/>
          <w:sz w:val="28"/>
          <w:szCs w:val="28"/>
        </w:rPr>
      </w:pPr>
    </w:p>
    <w:p w14:paraId="2BF948C0" w14:textId="77777777" w:rsidR="00E67F5F" w:rsidRDefault="00E67F5F" w:rsidP="00722852">
      <w:pPr>
        <w:rPr>
          <w:rFonts w:ascii="Arial" w:hAnsi="Arial" w:cs="Arial"/>
          <w:b/>
          <w:bCs/>
          <w:sz w:val="28"/>
          <w:szCs w:val="28"/>
        </w:rPr>
      </w:pPr>
    </w:p>
    <w:p w14:paraId="4D2FE773" w14:textId="77777777" w:rsidR="00E67F5F" w:rsidRDefault="00E67F5F" w:rsidP="00722852">
      <w:pPr>
        <w:rPr>
          <w:rFonts w:ascii="Arial" w:hAnsi="Arial" w:cs="Arial"/>
          <w:b/>
          <w:bCs/>
          <w:sz w:val="28"/>
          <w:szCs w:val="28"/>
        </w:rPr>
      </w:pPr>
    </w:p>
    <w:p w14:paraId="0F6BABE5" w14:textId="4C78B120" w:rsidR="00722852" w:rsidRPr="00E67F5F" w:rsidRDefault="00722852" w:rsidP="00722852">
      <w:pPr>
        <w:rPr>
          <w:rFonts w:ascii="Arial" w:hAnsi="Arial" w:cs="Arial"/>
          <w:b/>
          <w:bCs/>
          <w:sz w:val="28"/>
          <w:szCs w:val="28"/>
        </w:rPr>
      </w:pPr>
      <w:r w:rsidRPr="00E67F5F">
        <w:rPr>
          <w:rFonts w:ascii="Arial" w:hAnsi="Arial" w:cs="Arial"/>
          <w:b/>
          <w:bCs/>
          <w:sz w:val="28"/>
          <w:szCs w:val="28"/>
        </w:rPr>
        <w:lastRenderedPageBreak/>
        <w:t>Graphs:</w:t>
      </w:r>
    </w:p>
    <w:p w14:paraId="10D75311" w14:textId="2F9A6634" w:rsidR="00722852" w:rsidRPr="00E67F5F" w:rsidRDefault="00722852" w:rsidP="00722852">
      <w:pPr>
        <w:rPr>
          <w:rFonts w:ascii="Arial" w:hAnsi="Arial" w:cs="Arial"/>
          <w:sz w:val="28"/>
          <w:szCs w:val="28"/>
        </w:rPr>
      </w:pPr>
      <w:r w:rsidRPr="00E67F5F">
        <w:rPr>
          <w:rFonts w:ascii="Arial" w:hAnsi="Arial" w:cs="Arial"/>
          <w:b/>
          <w:bCs/>
          <w:sz w:val="28"/>
          <w:szCs w:val="28"/>
        </w:rPr>
        <w:t xml:space="preserve">Graph </w:t>
      </w:r>
      <w:r w:rsidRPr="00E67F5F">
        <w:rPr>
          <w:rFonts w:ascii="Arial" w:hAnsi="Arial" w:cs="Arial"/>
          <w:b/>
          <w:bCs/>
          <w:sz w:val="28"/>
          <w:szCs w:val="28"/>
        </w:rPr>
        <w:t>2</w:t>
      </w:r>
      <w:r w:rsidRPr="00E67F5F">
        <w:rPr>
          <w:rFonts w:ascii="Arial" w:hAnsi="Arial" w:cs="Arial"/>
          <w:b/>
          <w:bCs/>
          <w:sz w:val="28"/>
          <w:szCs w:val="28"/>
        </w:rPr>
        <w:t>.A:</w:t>
      </w:r>
      <w:r w:rsidRPr="00E67F5F">
        <w:rPr>
          <w:rFonts w:ascii="Arial" w:hAnsi="Arial" w:cs="Arial"/>
          <w:sz w:val="28"/>
          <w:szCs w:val="28"/>
        </w:rPr>
        <w:t xml:space="preserve"> Treasury Management Services: Trading Volume:</w:t>
      </w:r>
    </w:p>
    <w:p w14:paraId="0586E945" w14:textId="27EB4D65" w:rsidR="00722852" w:rsidRPr="00E67F5F" w:rsidRDefault="00722852" w:rsidP="00722852">
      <w:pPr>
        <w:rPr>
          <w:rFonts w:ascii="Arial" w:hAnsi="Arial" w:cs="Arial"/>
          <w:sz w:val="28"/>
          <w:szCs w:val="28"/>
        </w:rPr>
      </w:pPr>
      <w:r w:rsidRPr="00E67F5F">
        <w:rPr>
          <w:rFonts w:ascii="Arial" w:hAnsi="Arial" w:cs="Arial"/>
          <w:noProof/>
          <w:sz w:val="28"/>
          <w:szCs w:val="28"/>
        </w:rPr>
        <w:drawing>
          <wp:inline distT="0" distB="0" distL="0" distR="0" wp14:anchorId="6888572D" wp14:editId="17441287">
            <wp:extent cx="5731510" cy="3429000"/>
            <wp:effectExtent l="0" t="0" r="2540" b="0"/>
            <wp:docPr id="1069755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29000"/>
                    </a:xfrm>
                    <a:prstGeom prst="rect">
                      <a:avLst/>
                    </a:prstGeom>
                    <a:noFill/>
                    <a:ln>
                      <a:noFill/>
                    </a:ln>
                  </pic:spPr>
                </pic:pic>
              </a:graphicData>
            </a:graphic>
          </wp:inline>
        </w:drawing>
      </w:r>
      <w:r w:rsidRPr="00E67F5F">
        <w:rPr>
          <w:rFonts w:ascii="Arial" w:hAnsi="Arial" w:cs="Arial"/>
          <w:b/>
          <w:bCs/>
          <w:sz w:val="28"/>
          <w:szCs w:val="28"/>
        </w:rPr>
        <w:t>Inference</w:t>
      </w:r>
      <w:r w:rsidRPr="00E67F5F">
        <w:rPr>
          <w:rFonts w:ascii="Arial" w:hAnsi="Arial" w:cs="Arial"/>
          <w:sz w:val="28"/>
          <w:szCs w:val="28"/>
        </w:rPr>
        <w:t>:</w:t>
      </w:r>
    </w:p>
    <w:p w14:paraId="23AFA08F" w14:textId="77777777" w:rsidR="00722852" w:rsidRPr="00722852" w:rsidRDefault="00722852" w:rsidP="00722852">
      <w:pPr>
        <w:numPr>
          <w:ilvl w:val="0"/>
          <w:numId w:val="6"/>
        </w:numPr>
        <w:rPr>
          <w:rFonts w:ascii="Arial" w:hAnsi="Arial" w:cs="Arial"/>
          <w:sz w:val="28"/>
          <w:szCs w:val="28"/>
        </w:rPr>
      </w:pPr>
      <w:r w:rsidRPr="00722852">
        <w:rPr>
          <w:rFonts w:ascii="Arial" w:hAnsi="Arial" w:cs="Arial"/>
          <w:b/>
          <w:bCs/>
          <w:sz w:val="28"/>
          <w:szCs w:val="28"/>
        </w:rPr>
        <w:t>Liquidity Analysis</w:t>
      </w:r>
      <w:r w:rsidRPr="00722852">
        <w:rPr>
          <w:rFonts w:ascii="Arial" w:hAnsi="Arial" w:cs="Arial"/>
          <w:sz w:val="28"/>
          <w:szCs w:val="28"/>
        </w:rPr>
        <w:t>: Trading volume is a proxy for liquidity. Higher trading volumes indicate higher liquidity, making it easier to buy or sell shares without significantly affecting the stock price.</w:t>
      </w:r>
    </w:p>
    <w:p w14:paraId="23AF5309" w14:textId="77777777" w:rsidR="00722852" w:rsidRPr="00722852" w:rsidRDefault="00722852" w:rsidP="00722852">
      <w:pPr>
        <w:numPr>
          <w:ilvl w:val="0"/>
          <w:numId w:val="6"/>
        </w:numPr>
        <w:rPr>
          <w:rFonts w:ascii="Arial" w:hAnsi="Arial" w:cs="Arial"/>
          <w:sz w:val="28"/>
          <w:szCs w:val="28"/>
        </w:rPr>
      </w:pPr>
      <w:r w:rsidRPr="00722852">
        <w:rPr>
          <w:rFonts w:ascii="Arial" w:hAnsi="Arial" w:cs="Arial"/>
          <w:b/>
          <w:bCs/>
          <w:sz w:val="28"/>
          <w:szCs w:val="28"/>
        </w:rPr>
        <w:t>Market Activity</w:t>
      </w:r>
      <w:r w:rsidRPr="00722852">
        <w:rPr>
          <w:rFonts w:ascii="Arial" w:hAnsi="Arial" w:cs="Arial"/>
          <w:sz w:val="28"/>
          <w:szCs w:val="28"/>
        </w:rPr>
        <w:t>: Spikes in trading volume can indicate increased market activity, often associated with significant news or events affecting the bank or the broader market.</w:t>
      </w:r>
    </w:p>
    <w:p w14:paraId="181145E1" w14:textId="77777777" w:rsidR="00722852" w:rsidRPr="00722852" w:rsidRDefault="00722852" w:rsidP="00722852">
      <w:pPr>
        <w:numPr>
          <w:ilvl w:val="0"/>
          <w:numId w:val="6"/>
        </w:numPr>
        <w:rPr>
          <w:rFonts w:ascii="Arial" w:hAnsi="Arial" w:cs="Arial"/>
          <w:sz w:val="28"/>
          <w:szCs w:val="28"/>
        </w:rPr>
      </w:pPr>
      <w:r w:rsidRPr="00722852">
        <w:rPr>
          <w:rFonts w:ascii="Arial" w:hAnsi="Arial" w:cs="Arial"/>
          <w:b/>
          <w:bCs/>
          <w:sz w:val="28"/>
          <w:szCs w:val="28"/>
        </w:rPr>
        <w:t>Investor Interest</w:t>
      </w:r>
      <w:r w:rsidRPr="00722852">
        <w:rPr>
          <w:rFonts w:ascii="Arial" w:hAnsi="Arial" w:cs="Arial"/>
          <w:sz w:val="28"/>
          <w:szCs w:val="28"/>
        </w:rPr>
        <w:t>: Consistently high trading volumes can suggest sustained investor interest and confidence in the bank.</w:t>
      </w:r>
    </w:p>
    <w:p w14:paraId="3DD5F961" w14:textId="77777777" w:rsidR="00E67F5F" w:rsidRDefault="00E67F5F" w:rsidP="00E80718">
      <w:pPr>
        <w:rPr>
          <w:rFonts w:ascii="Arial" w:hAnsi="Arial" w:cs="Arial"/>
          <w:b/>
          <w:bCs/>
          <w:sz w:val="28"/>
          <w:szCs w:val="28"/>
        </w:rPr>
      </w:pPr>
    </w:p>
    <w:p w14:paraId="530B779B" w14:textId="77777777" w:rsidR="00E67F5F" w:rsidRDefault="00E67F5F" w:rsidP="00E80718">
      <w:pPr>
        <w:rPr>
          <w:rFonts w:ascii="Arial" w:hAnsi="Arial" w:cs="Arial"/>
          <w:b/>
          <w:bCs/>
          <w:sz w:val="28"/>
          <w:szCs w:val="28"/>
        </w:rPr>
      </w:pPr>
    </w:p>
    <w:p w14:paraId="496B0F29" w14:textId="77777777" w:rsidR="00E67F5F" w:rsidRDefault="00E67F5F" w:rsidP="00E80718">
      <w:pPr>
        <w:rPr>
          <w:rFonts w:ascii="Arial" w:hAnsi="Arial" w:cs="Arial"/>
          <w:b/>
          <w:bCs/>
          <w:sz w:val="28"/>
          <w:szCs w:val="28"/>
        </w:rPr>
      </w:pPr>
    </w:p>
    <w:p w14:paraId="24D374BA" w14:textId="77777777" w:rsidR="00E67F5F" w:rsidRDefault="00E67F5F" w:rsidP="00E80718">
      <w:pPr>
        <w:rPr>
          <w:rFonts w:ascii="Arial" w:hAnsi="Arial" w:cs="Arial"/>
          <w:b/>
          <w:bCs/>
          <w:sz w:val="28"/>
          <w:szCs w:val="28"/>
        </w:rPr>
      </w:pPr>
    </w:p>
    <w:p w14:paraId="14393727" w14:textId="77777777" w:rsidR="00E67F5F" w:rsidRDefault="00E67F5F" w:rsidP="00E80718">
      <w:pPr>
        <w:rPr>
          <w:rFonts w:ascii="Arial" w:hAnsi="Arial" w:cs="Arial"/>
          <w:b/>
          <w:bCs/>
          <w:sz w:val="28"/>
          <w:szCs w:val="28"/>
        </w:rPr>
      </w:pPr>
    </w:p>
    <w:p w14:paraId="582543F5" w14:textId="77777777" w:rsidR="00E67F5F" w:rsidRDefault="00E67F5F" w:rsidP="00E80718">
      <w:pPr>
        <w:rPr>
          <w:rFonts w:ascii="Arial" w:hAnsi="Arial" w:cs="Arial"/>
          <w:b/>
          <w:bCs/>
          <w:sz w:val="28"/>
          <w:szCs w:val="28"/>
        </w:rPr>
      </w:pPr>
    </w:p>
    <w:p w14:paraId="737101A6" w14:textId="77777777" w:rsidR="00E67F5F" w:rsidRDefault="00E67F5F" w:rsidP="00E80718">
      <w:pPr>
        <w:rPr>
          <w:rFonts w:ascii="Arial" w:hAnsi="Arial" w:cs="Arial"/>
          <w:b/>
          <w:bCs/>
          <w:sz w:val="28"/>
          <w:szCs w:val="28"/>
        </w:rPr>
      </w:pPr>
    </w:p>
    <w:p w14:paraId="4579D6F6" w14:textId="12B98D5E" w:rsidR="00E80718" w:rsidRPr="00E67F5F" w:rsidRDefault="00E80718" w:rsidP="00E80718">
      <w:pPr>
        <w:rPr>
          <w:rFonts w:ascii="Arial" w:hAnsi="Arial" w:cs="Arial"/>
          <w:sz w:val="28"/>
          <w:szCs w:val="28"/>
        </w:rPr>
      </w:pPr>
      <w:r w:rsidRPr="00E67F5F">
        <w:rPr>
          <w:rFonts w:ascii="Arial" w:hAnsi="Arial" w:cs="Arial"/>
          <w:b/>
          <w:bCs/>
          <w:sz w:val="28"/>
          <w:szCs w:val="28"/>
        </w:rPr>
        <w:lastRenderedPageBreak/>
        <w:t>Graph 2.</w:t>
      </w:r>
      <w:r w:rsidRPr="00E67F5F">
        <w:rPr>
          <w:rFonts w:ascii="Arial" w:hAnsi="Arial" w:cs="Arial"/>
          <w:b/>
          <w:bCs/>
          <w:sz w:val="28"/>
          <w:szCs w:val="28"/>
        </w:rPr>
        <w:t>B</w:t>
      </w:r>
      <w:r w:rsidRPr="00E67F5F">
        <w:rPr>
          <w:rFonts w:ascii="Arial" w:hAnsi="Arial" w:cs="Arial"/>
          <w:b/>
          <w:bCs/>
          <w:sz w:val="28"/>
          <w:szCs w:val="28"/>
        </w:rPr>
        <w:t>:</w:t>
      </w:r>
      <w:r w:rsidRPr="00E67F5F">
        <w:rPr>
          <w:rFonts w:ascii="Arial" w:hAnsi="Arial" w:cs="Arial"/>
          <w:sz w:val="28"/>
          <w:szCs w:val="28"/>
        </w:rPr>
        <w:t xml:space="preserve"> Treasury Management Services: Daily Returns:</w:t>
      </w:r>
    </w:p>
    <w:p w14:paraId="3E972328" w14:textId="6E3E1CFF" w:rsidR="00E80718" w:rsidRPr="00E67F5F" w:rsidRDefault="00E80718" w:rsidP="00E80718">
      <w:pPr>
        <w:rPr>
          <w:rFonts w:ascii="Arial" w:hAnsi="Arial" w:cs="Arial"/>
          <w:sz w:val="28"/>
          <w:szCs w:val="28"/>
        </w:rPr>
      </w:pPr>
      <w:r w:rsidRPr="00E67F5F">
        <w:rPr>
          <w:rFonts w:ascii="Arial" w:hAnsi="Arial" w:cs="Arial"/>
          <w:noProof/>
          <w:sz w:val="28"/>
          <w:szCs w:val="28"/>
        </w:rPr>
        <w:drawing>
          <wp:inline distT="0" distB="0" distL="0" distR="0" wp14:anchorId="4B3E6BEC" wp14:editId="7A54ACF1">
            <wp:extent cx="5731510" cy="3390900"/>
            <wp:effectExtent l="0" t="0" r="2540" b="0"/>
            <wp:docPr id="6778950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90900"/>
                    </a:xfrm>
                    <a:prstGeom prst="rect">
                      <a:avLst/>
                    </a:prstGeom>
                    <a:noFill/>
                    <a:ln>
                      <a:noFill/>
                    </a:ln>
                  </pic:spPr>
                </pic:pic>
              </a:graphicData>
            </a:graphic>
          </wp:inline>
        </w:drawing>
      </w:r>
      <w:r w:rsidRPr="00E67F5F">
        <w:rPr>
          <w:rFonts w:ascii="Arial" w:hAnsi="Arial" w:cs="Arial"/>
          <w:b/>
          <w:bCs/>
          <w:sz w:val="28"/>
          <w:szCs w:val="28"/>
        </w:rPr>
        <w:t>Inference</w:t>
      </w:r>
      <w:r w:rsidRPr="00E67F5F">
        <w:rPr>
          <w:rFonts w:ascii="Arial" w:hAnsi="Arial" w:cs="Arial"/>
          <w:sz w:val="28"/>
          <w:szCs w:val="28"/>
        </w:rPr>
        <w:t>:</w:t>
      </w:r>
    </w:p>
    <w:p w14:paraId="472C88DA" w14:textId="77777777" w:rsidR="00E80718" w:rsidRPr="00E80718" w:rsidRDefault="00E80718" w:rsidP="00E80718">
      <w:pPr>
        <w:numPr>
          <w:ilvl w:val="0"/>
          <w:numId w:val="9"/>
        </w:numPr>
        <w:rPr>
          <w:rFonts w:ascii="Arial" w:hAnsi="Arial" w:cs="Arial"/>
          <w:sz w:val="28"/>
          <w:szCs w:val="28"/>
        </w:rPr>
      </w:pPr>
      <w:r w:rsidRPr="00E80718">
        <w:rPr>
          <w:rFonts w:ascii="Arial" w:hAnsi="Arial" w:cs="Arial"/>
          <w:b/>
          <w:bCs/>
          <w:sz w:val="28"/>
          <w:szCs w:val="28"/>
        </w:rPr>
        <w:t>Volatility and Risk</w:t>
      </w:r>
      <w:r w:rsidRPr="00E80718">
        <w:rPr>
          <w:rFonts w:ascii="Arial" w:hAnsi="Arial" w:cs="Arial"/>
          <w:sz w:val="28"/>
          <w:szCs w:val="28"/>
        </w:rPr>
        <w:t>: Daily returns provide insights into the day-to-day volatility and risk associated with each bank's stock.</w:t>
      </w:r>
    </w:p>
    <w:p w14:paraId="128AEC70" w14:textId="77777777" w:rsidR="00E80718" w:rsidRPr="00E80718" w:rsidRDefault="00E80718" w:rsidP="00E80718">
      <w:pPr>
        <w:numPr>
          <w:ilvl w:val="0"/>
          <w:numId w:val="9"/>
        </w:numPr>
        <w:rPr>
          <w:rFonts w:ascii="Arial" w:hAnsi="Arial" w:cs="Arial"/>
          <w:sz w:val="28"/>
          <w:szCs w:val="28"/>
        </w:rPr>
      </w:pPr>
      <w:r w:rsidRPr="00E80718">
        <w:rPr>
          <w:rFonts w:ascii="Arial" w:hAnsi="Arial" w:cs="Arial"/>
          <w:b/>
          <w:bCs/>
          <w:sz w:val="28"/>
          <w:szCs w:val="28"/>
        </w:rPr>
        <w:t>Performance Evaluation</w:t>
      </w:r>
      <w:r w:rsidRPr="00E80718">
        <w:rPr>
          <w:rFonts w:ascii="Arial" w:hAnsi="Arial" w:cs="Arial"/>
          <w:sz w:val="28"/>
          <w:szCs w:val="28"/>
        </w:rPr>
        <w:t xml:space="preserve">: By </w:t>
      </w:r>
      <w:proofErr w:type="spellStart"/>
      <w:r w:rsidRPr="00E80718">
        <w:rPr>
          <w:rFonts w:ascii="Arial" w:hAnsi="Arial" w:cs="Arial"/>
          <w:sz w:val="28"/>
          <w:szCs w:val="28"/>
        </w:rPr>
        <w:t>analyzing</w:t>
      </w:r>
      <w:proofErr w:type="spellEnd"/>
      <w:r w:rsidRPr="00E80718">
        <w:rPr>
          <w:rFonts w:ascii="Arial" w:hAnsi="Arial" w:cs="Arial"/>
          <w:sz w:val="28"/>
          <w:szCs w:val="28"/>
        </w:rPr>
        <w:t xml:space="preserve"> daily returns, investors can evaluate the short-term performance and identify patterns or trends in stock price movements.</w:t>
      </w:r>
    </w:p>
    <w:p w14:paraId="769D44F9" w14:textId="77777777" w:rsidR="00E80718" w:rsidRPr="00E80718" w:rsidRDefault="00E80718" w:rsidP="00E80718">
      <w:pPr>
        <w:numPr>
          <w:ilvl w:val="0"/>
          <w:numId w:val="9"/>
        </w:numPr>
        <w:rPr>
          <w:rFonts w:ascii="Arial" w:hAnsi="Arial" w:cs="Arial"/>
          <w:sz w:val="28"/>
          <w:szCs w:val="28"/>
        </w:rPr>
      </w:pPr>
      <w:r w:rsidRPr="00E80718">
        <w:rPr>
          <w:rFonts w:ascii="Arial" w:hAnsi="Arial" w:cs="Arial"/>
          <w:b/>
          <w:bCs/>
          <w:sz w:val="28"/>
          <w:szCs w:val="28"/>
        </w:rPr>
        <w:t>Market Reactions</w:t>
      </w:r>
      <w:r w:rsidRPr="00E80718">
        <w:rPr>
          <w:rFonts w:ascii="Arial" w:hAnsi="Arial" w:cs="Arial"/>
          <w:sz w:val="28"/>
          <w:szCs w:val="28"/>
        </w:rPr>
        <w:t>: Significant daily returns (positive or negative) can indicate market reactions to news, earnings reports, or economic events.</w:t>
      </w:r>
    </w:p>
    <w:p w14:paraId="644C5BFE" w14:textId="77777777" w:rsidR="00E67F5F" w:rsidRDefault="00E67F5F" w:rsidP="00E80718">
      <w:pPr>
        <w:rPr>
          <w:rFonts w:ascii="Arial" w:hAnsi="Arial" w:cs="Arial"/>
          <w:b/>
          <w:bCs/>
          <w:sz w:val="28"/>
          <w:szCs w:val="28"/>
        </w:rPr>
      </w:pPr>
    </w:p>
    <w:p w14:paraId="13C14D6B" w14:textId="77777777" w:rsidR="00E67F5F" w:rsidRDefault="00E67F5F" w:rsidP="00E80718">
      <w:pPr>
        <w:rPr>
          <w:rFonts w:ascii="Arial" w:hAnsi="Arial" w:cs="Arial"/>
          <w:b/>
          <w:bCs/>
          <w:sz w:val="28"/>
          <w:szCs w:val="28"/>
        </w:rPr>
      </w:pPr>
    </w:p>
    <w:p w14:paraId="67B15F3B" w14:textId="77777777" w:rsidR="00E67F5F" w:rsidRDefault="00E67F5F" w:rsidP="00E80718">
      <w:pPr>
        <w:rPr>
          <w:rFonts w:ascii="Arial" w:hAnsi="Arial" w:cs="Arial"/>
          <w:b/>
          <w:bCs/>
          <w:sz w:val="28"/>
          <w:szCs w:val="28"/>
        </w:rPr>
      </w:pPr>
    </w:p>
    <w:p w14:paraId="6A545FB3" w14:textId="77777777" w:rsidR="00E67F5F" w:rsidRDefault="00E67F5F" w:rsidP="00E80718">
      <w:pPr>
        <w:rPr>
          <w:rFonts w:ascii="Arial" w:hAnsi="Arial" w:cs="Arial"/>
          <w:b/>
          <w:bCs/>
          <w:sz w:val="28"/>
          <w:szCs w:val="28"/>
        </w:rPr>
      </w:pPr>
    </w:p>
    <w:p w14:paraId="0888EF63" w14:textId="77777777" w:rsidR="00E67F5F" w:rsidRDefault="00E67F5F" w:rsidP="00E80718">
      <w:pPr>
        <w:rPr>
          <w:rFonts w:ascii="Arial" w:hAnsi="Arial" w:cs="Arial"/>
          <w:b/>
          <w:bCs/>
          <w:sz w:val="28"/>
          <w:szCs w:val="28"/>
        </w:rPr>
      </w:pPr>
    </w:p>
    <w:p w14:paraId="26A1F5C7" w14:textId="77777777" w:rsidR="00E67F5F" w:rsidRDefault="00E67F5F" w:rsidP="00E80718">
      <w:pPr>
        <w:rPr>
          <w:rFonts w:ascii="Arial" w:hAnsi="Arial" w:cs="Arial"/>
          <w:b/>
          <w:bCs/>
          <w:sz w:val="28"/>
          <w:szCs w:val="28"/>
        </w:rPr>
      </w:pPr>
    </w:p>
    <w:p w14:paraId="7E50639C" w14:textId="77777777" w:rsidR="00E67F5F" w:rsidRDefault="00E67F5F" w:rsidP="00E80718">
      <w:pPr>
        <w:rPr>
          <w:rFonts w:ascii="Arial" w:hAnsi="Arial" w:cs="Arial"/>
          <w:b/>
          <w:bCs/>
          <w:sz w:val="28"/>
          <w:szCs w:val="28"/>
        </w:rPr>
      </w:pPr>
    </w:p>
    <w:p w14:paraId="14470A84" w14:textId="77777777" w:rsidR="00E67F5F" w:rsidRDefault="00E67F5F" w:rsidP="00E80718">
      <w:pPr>
        <w:rPr>
          <w:rFonts w:ascii="Arial" w:hAnsi="Arial" w:cs="Arial"/>
          <w:b/>
          <w:bCs/>
          <w:sz w:val="28"/>
          <w:szCs w:val="28"/>
        </w:rPr>
      </w:pPr>
    </w:p>
    <w:p w14:paraId="6820B31F" w14:textId="77731058" w:rsidR="000E47C4" w:rsidRPr="00E67F5F" w:rsidRDefault="00E80718" w:rsidP="00E80718">
      <w:pPr>
        <w:rPr>
          <w:rFonts w:ascii="Arial" w:hAnsi="Arial" w:cs="Arial"/>
          <w:sz w:val="28"/>
          <w:szCs w:val="28"/>
        </w:rPr>
      </w:pPr>
      <w:r w:rsidRPr="00E67F5F">
        <w:rPr>
          <w:rFonts w:ascii="Arial" w:hAnsi="Arial" w:cs="Arial"/>
          <w:b/>
          <w:bCs/>
          <w:sz w:val="28"/>
          <w:szCs w:val="28"/>
        </w:rPr>
        <w:lastRenderedPageBreak/>
        <w:t>Graph 2.</w:t>
      </w:r>
      <w:r w:rsidRPr="00E67F5F">
        <w:rPr>
          <w:rFonts w:ascii="Arial" w:hAnsi="Arial" w:cs="Arial"/>
          <w:b/>
          <w:bCs/>
          <w:sz w:val="28"/>
          <w:szCs w:val="28"/>
        </w:rPr>
        <w:t>C</w:t>
      </w:r>
      <w:r w:rsidRPr="00E67F5F">
        <w:rPr>
          <w:rFonts w:ascii="Arial" w:hAnsi="Arial" w:cs="Arial"/>
          <w:b/>
          <w:bCs/>
          <w:sz w:val="28"/>
          <w:szCs w:val="28"/>
        </w:rPr>
        <w:t>:</w:t>
      </w:r>
      <w:r w:rsidRPr="00E67F5F">
        <w:rPr>
          <w:rFonts w:ascii="Arial" w:hAnsi="Arial" w:cs="Arial"/>
          <w:sz w:val="28"/>
          <w:szCs w:val="28"/>
        </w:rPr>
        <w:t xml:space="preserve"> </w:t>
      </w:r>
      <w:r w:rsidR="000E47C4" w:rsidRPr="00E67F5F">
        <w:rPr>
          <w:rFonts w:ascii="Arial" w:hAnsi="Arial" w:cs="Arial"/>
          <w:sz w:val="28"/>
          <w:szCs w:val="28"/>
        </w:rPr>
        <w:t>Treasury Management Services: Moving Average</w:t>
      </w:r>
      <w:r w:rsidRPr="00E67F5F">
        <w:rPr>
          <w:rFonts w:ascii="Arial" w:hAnsi="Arial" w:cs="Arial"/>
          <w:sz w:val="28"/>
          <w:szCs w:val="28"/>
        </w:rPr>
        <w:t>:</w:t>
      </w:r>
    </w:p>
    <w:p w14:paraId="347C40D6" w14:textId="34081FBB" w:rsidR="000E47C4" w:rsidRPr="00E67F5F" w:rsidRDefault="000E47C4" w:rsidP="000E47C4">
      <w:pPr>
        <w:rPr>
          <w:rFonts w:ascii="Arial" w:hAnsi="Arial" w:cs="Arial"/>
          <w:sz w:val="28"/>
          <w:szCs w:val="28"/>
        </w:rPr>
      </w:pPr>
      <w:r w:rsidRPr="00E67F5F">
        <w:rPr>
          <w:rFonts w:ascii="Arial" w:hAnsi="Arial" w:cs="Arial"/>
          <w:noProof/>
          <w:sz w:val="28"/>
          <w:szCs w:val="28"/>
        </w:rPr>
        <w:drawing>
          <wp:inline distT="0" distB="0" distL="0" distR="0" wp14:anchorId="51836435" wp14:editId="37B01B23">
            <wp:extent cx="5731510" cy="3543300"/>
            <wp:effectExtent l="0" t="0" r="2540" b="0"/>
            <wp:docPr id="366468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noFill/>
                    </a:ln>
                  </pic:spPr>
                </pic:pic>
              </a:graphicData>
            </a:graphic>
          </wp:inline>
        </w:drawing>
      </w:r>
      <w:r w:rsidRPr="00E67F5F">
        <w:rPr>
          <w:rFonts w:ascii="Arial" w:hAnsi="Arial" w:cs="Arial"/>
          <w:b/>
          <w:bCs/>
          <w:sz w:val="28"/>
          <w:szCs w:val="28"/>
        </w:rPr>
        <w:t>Inference</w:t>
      </w:r>
      <w:r w:rsidRPr="00E67F5F">
        <w:rPr>
          <w:rFonts w:ascii="Arial" w:hAnsi="Arial" w:cs="Arial"/>
          <w:sz w:val="28"/>
          <w:szCs w:val="28"/>
        </w:rPr>
        <w:t>:</w:t>
      </w:r>
    </w:p>
    <w:p w14:paraId="1DD03121" w14:textId="77777777" w:rsidR="000E47C4" w:rsidRPr="000E47C4" w:rsidRDefault="000E47C4" w:rsidP="000E47C4">
      <w:pPr>
        <w:numPr>
          <w:ilvl w:val="0"/>
          <w:numId w:val="11"/>
        </w:numPr>
        <w:rPr>
          <w:rFonts w:ascii="Arial" w:hAnsi="Arial" w:cs="Arial"/>
          <w:sz w:val="28"/>
          <w:szCs w:val="28"/>
        </w:rPr>
      </w:pPr>
      <w:r w:rsidRPr="000E47C4">
        <w:rPr>
          <w:rFonts w:ascii="Arial" w:hAnsi="Arial" w:cs="Arial"/>
          <w:b/>
          <w:bCs/>
          <w:sz w:val="28"/>
          <w:szCs w:val="28"/>
        </w:rPr>
        <w:t>Trend Identification</w:t>
      </w:r>
      <w:r w:rsidRPr="000E47C4">
        <w:rPr>
          <w:rFonts w:ascii="Arial" w:hAnsi="Arial" w:cs="Arial"/>
          <w:sz w:val="28"/>
          <w:szCs w:val="28"/>
        </w:rPr>
        <w:t>: Moving averages smooth out short-term fluctuations and help identify longer-term trends in stock prices.</w:t>
      </w:r>
    </w:p>
    <w:p w14:paraId="56F97B3B" w14:textId="77777777" w:rsidR="000E47C4" w:rsidRPr="000E47C4" w:rsidRDefault="000E47C4" w:rsidP="000E47C4">
      <w:pPr>
        <w:numPr>
          <w:ilvl w:val="0"/>
          <w:numId w:val="11"/>
        </w:numPr>
        <w:rPr>
          <w:rFonts w:ascii="Arial" w:hAnsi="Arial" w:cs="Arial"/>
          <w:sz w:val="28"/>
          <w:szCs w:val="28"/>
        </w:rPr>
      </w:pPr>
      <w:r w:rsidRPr="000E47C4">
        <w:rPr>
          <w:rFonts w:ascii="Arial" w:hAnsi="Arial" w:cs="Arial"/>
          <w:b/>
          <w:bCs/>
          <w:sz w:val="28"/>
          <w:szCs w:val="28"/>
        </w:rPr>
        <w:t>Support and Resistance</w:t>
      </w:r>
      <w:r w:rsidRPr="000E47C4">
        <w:rPr>
          <w:rFonts w:ascii="Arial" w:hAnsi="Arial" w:cs="Arial"/>
          <w:sz w:val="28"/>
          <w:szCs w:val="28"/>
        </w:rPr>
        <w:t>: Moving averages can act as support or resistance levels, indicating potential points where the stock price may reverse direction.</w:t>
      </w:r>
    </w:p>
    <w:p w14:paraId="3BF961C6" w14:textId="77777777" w:rsidR="000E47C4" w:rsidRPr="000E47C4" w:rsidRDefault="000E47C4" w:rsidP="000E47C4">
      <w:pPr>
        <w:numPr>
          <w:ilvl w:val="0"/>
          <w:numId w:val="11"/>
        </w:numPr>
        <w:rPr>
          <w:rFonts w:ascii="Arial" w:hAnsi="Arial" w:cs="Arial"/>
          <w:sz w:val="28"/>
          <w:szCs w:val="28"/>
        </w:rPr>
      </w:pPr>
      <w:r w:rsidRPr="000E47C4">
        <w:rPr>
          <w:rFonts w:ascii="Arial" w:hAnsi="Arial" w:cs="Arial"/>
          <w:b/>
          <w:bCs/>
          <w:sz w:val="28"/>
          <w:szCs w:val="28"/>
        </w:rPr>
        <w:t>Trading Signals</w:t>
      </w:r>
      <w:r w:rsidRPr="000E47C4">
        <w:rPr>
          <w:rFonts w:ascii="Arial" w:hAnsi="Arial" w:cs="Arial"/>
          <w:sz w:val="28"/>
          <w:szCs w:val="28"/>
        </w:rPr>
        <w:t>: Crossovers of short-term and long-term moving averages can generate trading signals. For example, a bullish signal occurs when a short-term moving average crosses above a long-term moving average.</w:t>
      </w:r>
    </w:p>
    <w:p w14:paraId="18D732EF" w14:textId="6928AC83" w:rsidR="00722852" w:rsidRPr="00E67F5F" w:rsidRDefault="00722852" w:rsidP="00BC16A4">
      <w:pPr>
        <w:rPr>
          <w:rFonts w:ascii="Arial" w:hAnsi="Arial" w:cs="Arial"/>
          <w:sz w:val="28"/>
          <w:szCs w:val="28"/>
        </w:rPr>
      </w:pPr>
    </w:p>
    <w:p w14:paraId="6D38A7CD" w14:textId="77777777" w:rsidR="00E80718" w:rsidRPr="00E67F5F" w:rsidRDefault="00E80718" w:rsidP="00BC16A4">
      <w:pPr>
        <w:rPr>
          <w:rFonts w:ascii="Arial" w:hAnsi="Arial" w:cs="Arial"/>
          <w:b/>
          <w:bCs/>
          <w:sz w:val="28"/>
          <w:szCs w:val="28"/>
        </w:rPr>
      </w:pPr>
    </w:p>
    <w:p w14:paraId="20E0267B" w14:textId="77777777" w:rsidR="00E80718" w:rsidRPr="00E67F5F" w:rsidRDefault="00E80718" w:rsidP="00BC16A4">
      <w:pPr>
        <w:rPr>
          <w:rFonts w:ascii="Arial" w:hAnsi="Arial" w:cs="Arial"/>
          <w:b/>
          <w:bCs/>
          <w:sz w:val="28"/>
          <w:szCs w:val="28"/>
        </w:rPr>
      </w:pPr>
    </w:p>
    <w:p w14:paraId="529EE9A4" w14:textId="77777777" w:rsidR="00E80718" w:rsidRPr="00E67F5F" w:rsidRDefault="00E80718" w:rsidP="00BC16A4">
      <w:pPr>
        <w:rPr>
          <w:rFonts w:ascii="Arial" w:hAnsi="Arial" w:cs="Arial"/>
          <w:b/>
          <w:bCs/>
          <w:sz w:val="28"/>
          <w:szCs w:val="28"/>
        </w:rPr>
      </w:pPr>
    </w:p>
    <w:p w14:paraId="6483808B" w14:textId="77777777" w:rsidR="00E80718" w:rsidRPr="00E67F5F" w:rsidRDefault="00E80718" w:rsidP="00BC16A4">
      <w:pPr>
        <w:rPr>
          <w:rFonts w:ascii="Arial" w:hAnsi="Arial" w:cs="Arial"/>
          <w:b/>
          <w:bCs/>
          <w:sz w:val="28"/>
          <w:szCs w:val="28"/>
        </w:rPr>
      </w:pPr>
    </w:p>
    <w:p w14:paraId="78A6F6DE" w14:textId="77777777" w:rsidR="00E80718" w:rsidRPr="00E67F5F" w:rsidRDefault="00E80718" w:rsidP="00BC16A4">
      <w:pPr>
        <w:rPr>
          <w:rFonts w:ascii="Arial" w:hAnsi="Arial" w:cs="Arial"/>
          <w:b/>
          <w:bCs/>
          <w:sz w:val="28"/>
          <w:szCs w:val="28"/>
        </w:rPr>
      </w:pPr>
    </w:p>
    <w:p w14:paraId="45580195" w14:textId="77777777" w:rsidR="00E67F5F" w:rsidRDefault="00E67F5F" w:rsidP="00BC16A4">
      <w:pPr>
        <w:rPr>
          <w:rFonts w:ascii="Arial" w:hAnsi="Arial" w:cs="Arial"/>
          <w:b/>
          <w:bCs/>
          <w:sz w:val="28"/>
          <w:szCs w:val="28"/>
        </w:rPr>
      </w:pPr>
    </w:p>
    <w:p w14:paraId="2134B686" w14:textId="7DCD3ADC" w:rsidR="00BC16A4" w:rsidRPr="00BC16A4" w:rsidRDefault="00BC16A4" w:rsidP="00BC16A4">
      <w:pPr>
        <w:rPr>
          <w:rFonts w:ascii="Arial" w:hAnsi="Arial" w:cs="Arial"/>
          <w:b/>
          <w:bCs/>
          <w:sz w:val="28"/>
          <w:szCs w:val="28"/>
        </w:rPr>
      </w:pPr>
      <w:r w:rsidRPr="00BC16A4">
        <w:rPr>
          <w:rFonts w:ascii="Arial" w:hAnsi="Arial" w:cs="Arial"/>
          <w:b/>
          <w:bCs/>
          <w:sz w:val="28"/>
          <w:szCs w:val="28"/>
        </w:rPr>
        <w:lastRenderedPageBreak/>
        <w:t>3. Risk Management in Banking Operations</w:t>
      </w:r>
      <w:r w:rsidRPr="00E67F5F">
        <w:rPr>
          <w:rFonts w:ascii="Arial" w:hAnsi="Arial" w:cs="Arial"/>
          <w:b/>
          <w:bCs/>
          <w:sz w:val="28"/>
          <w:szCs w:val="28"/>
        </w:rPr>
        <w:t>:</w:t>
      </w:r>
    </w:p>
    <w:p w14:paraId="62B86A8E" w14:textId="77777777" w:rsidR="00BC16A4" w:rsidRPr="00E67F5F" w:rsidRDefault="00BC16A4" w:rsidP="00BC16A4">
      <w:pPr>
        <w:rPr>
          <w:rFonts w:ascii="Arial" w:hAnsi="Arial" w:cs="Arial"/>
          <w:sz w:val="28"/>
          <w:szCs w:val="28"/>
        </w:rPr>
      </w:pPr>
      <w:r w:rsidRPr="00BC16A4">
        <w:rPr>
          <w:rFonts w:ascii="Arial" w:hAnsi="Arial" w:cs="Arial"/>
          <w:b/>
          <w:bCs/>
          <w:sz w:val="28"/>
          <w:szCs w:val="28"/>
        </w:rPr>
        <w:t>Introduction</w:t>
      </w:r>
      <w:r w:rsidRPr="00BC16A4">
        <w:rPr>
          <w:rFonts w:ascii="Arial" w:hAnsi="Arial" w:cs="Arial"/>
          <w:sz w:val="28"/>
          <w:szCs w:val="28"/>
        </w:rPr>
        <w:t>:</w:t>
      </w:r>
      <w:r w:rsidRPr="00BC16A4">
        <w:rPr>
          <w:rFonts w:ascii="Arial" w:hAnsi="Arial" w:cs="Arial"/>
          <w:sz w:val="28"/>
          <w:szCs w:val="28"/>
        </w:rPr>
        <w:br/>
        <w:t>Risk management in banking operations involves identifying, assessing, and mitigating risks that could negatively impact a bank's financial health and stability. These risks include credit risk, market risk, operational risk, liquidity risk, and compliance risk. Effective risk management is essential for maintaining the bank's solvency, protecting its reputation, and ensuring regulatory compliance. </w:t>
      </w:r>
    </w:p>
    <w:p w14:paraId="7E4AE507" w14:textId="6E4B884A" w:rsidR="00BC16A4" w:rsidRPr="00BC16A4" w:rsidRDefault="00BC16A4" w:rsidP="00BC16A4">
      <w:pPr>
        <w:rPr>
          <w:rFonts w:ascii="Arial" w:hAnsi="Arial" w:cs="Arial"/>
          <w:sz w:val="28"/>
          <w:szCs w:val="28"/>
        </w:rPr>
      </w:pPr>
      <w:r w:rsidRPr="00BC16A4">
        <w:rPr>
          <w:rFonts w:ascii="Arial" w:hAnsi="Arial" w:cs="Arial"/>
          <w:b/>
          <w:bCs/>
          <w:sz w:val="28"/>
          <w:szCs w:val="28"/>
        </w:rPr>
        <w:t>Basic Terminologies</w:t>
      </w:r>
      <w:r w:rsidRPr="00BC16A4">
        <w:rPr>
          <w:rFonts w:ascii="Arial" w:hAnsi="Arial" w:cs="Arial"/>
          <w:sz w:val="28"/>
          <w:szCs w:val="28"/>
        </w:rPr>
        <w:t>:</w:t>
      </w:r>
    </w:p>
    <w:p w14:paraId="1A414025" w14:textId="77777777" w:rsidR="00BC16A4" w:rsidRPr="00BC16A4" w:rsidRDefault="00BC16A4" w:rsidP="00BC16A4">
      <w:pPr>
        <w:numPr>
          <w:ilvl w:val="0"/>
          <w:numId w:val="3"/>
        </w:numPr>
        <w:rPr>
          <w:rFonts w:ascii="Arial" w:hAnsi="Arial" w:cs="Arial"/>
          <w:sz w:val="28"/>
          <w:szCs w:val="28"/>
        </w:rPr>
      </w:pPr>
      <w:r w:rsidRPr="00BC16A4">
        <w:rPr>
          <w:rFonts w:ascii="Arial" w:hAnsi="Arial" w:cs="Arial"/>
          <w:b/>
          <w:bCs/>
          <w:sz w:val="28"/>
          <w:szCs w:val="28"/>
        </w:rPr>
        <w:t>Credit Risk</w:t>
      </w:r>
      <w:r w:rsidRPr="00BC16A4">
        <w:rPr>
          <w:rFonts w:ascii="Arial" w:hAnsi="Arial" w:cs="Arial"/>
          <w:sz w:val="28"/>
          <w:szCs w:val="28"/>
        </w:rPr>
        <w:t>: The risk of loss due to a borrower's failure to repay a loan or meet contractual obligations.</w:t>
      </w:r>
    </w:p>
    <w:p w14:paraId="544695FF" w14:textId="77777777" w:rsidR="00BC16A4" w:rsidRPr="00BC16A4" w:rsidRDefault="00BC16A4" w:rsidP="00BC16A4">
      <w:pPr>
        <w:numPr>
          <w:ilvl w:val="0"/>
          <w:numId w:val="3"/>
        </w:numPr>
        <w:rPr>
          <w:rFonts w:ascii="Arial" w:hAnsi="Arial" w:cs="Arial"/>
          <w:sz w:val="28"/>
          <w:szCs w:val="28"/>
        </w:rPr>
      </w:pPr>
      <w:r w:rsidRPr="00BC16A4">
        <w:rPr>
          <w:rFonts w:ascii="Arial" w:hAnsi="Arial" w:cs="Arial"/>
          <w:b/>
          <w:bCs/>
          <w:sz w:val="28"/>
          <w:szCs w:val="28"/>
        </w:rPr>
        <w:t>Market Risk</w:t>
      </w:r>
      <w:r w:rsidRPr="00BC16A4">
        <w:rPr>
          <w:rFonts w:ascii="Arial" w:hAnsi="Arial" w:cs="Arial"/>
          <w:sz w:val="28"/>
          <w:szCs w:val="28"/>
        </w:rPr>
        <w:t>: The risk of losses due to changes in market prices, such as interest rates, exchange rates, and equity prices.</w:t>
      </w:r>
    </w:p>
    <w:p w14:paraId="32F52736" w14:textId="77777777" w:rsidR="00BC16A4" w:rsidRPr="00BC16A4" w:rsidRDefault="00BC16A4" w:rsidP="00BC16A4">
      <w:pPr>
        <w:numPr>
          <w:ilvl w:val="0"/>
          <w:numId w:val="3"/>
        </w:numPr>
        <w:rPr>
          <w:rFonts w:ascii="Arial" w:hAnsi="Arial" w:cs="Arial"/>
          <w:sz w:val="28"/>
          <w:szCs w:val="28"/>
        </w:rPr>
      </w:pPr>
      <w:r w:rsidRPr="00BC16A4">
        <w:rPr>
          <w:rFonts w:ascii="Arial" w:hAnsi="Arial" w:cs="Arial"/>
          <w:b/>
          <w:bCs/>
          <w:sz w:val="28"/>
          <w:szCs w:val="28"/>
        </w:rPr>
        <w:t>Operational Risk</w:t>
      </w:r>
      <w:r w:rsidRPr="00BC16A4">
        <w:rPr>
          <w:rFonts w:ascii="Arial" w:hAnsi="Arial" w:cs="Arial"/>
          <w:sz w:val="28"/>
          <w:szCs w:val="28"/>
        </w:rPr>
        <w:t>: The risk of loss resulting from inadequate or failed internal processes, people, systems, or external events.</w:t>
      </w:r>
    </w:p>
    <w:p w14:paraId="01EE18B7" w14:textId="77777777" w:rsidR="00BC16A4" w:rsidRPr="00BC16A4" w:rsidRDefault="00BC16A4" w:rsidP="00BC16A4">
      <w:pPr>
        <w:numPr>
          <w:ilvl w:val="0"/>
          <w:numId w:val="3"/>
        </w:numPr>
        <w:rPr>
          <w:rFonts w:ascii="Arial" w:hAnsi="Arial" w:cs="Arial"/>
          <w:sz w:val="28"/>
          <w:szCs w:val="28"/>
        </w:rPr>
      </w:pPr>
      <w:r w:rsidRPr="00BC16A4">
        <w:rPr>
          <w:rFonts w:ascii="Arial" w:hAnsi="Arial" w:cs="Arial"/>
          <w:b/>
          <w:bCs/>
          <w:sz w:val="28"/>
          <w:szCs w:val="28"/>
        </w:rPr>
        <w:t>Liquidity Risk</w:t>
      </w:r>
      <w:r w:rsidRPr="00BC16A4">
        <w:rPr>
          <w:rFonts w:ascii="Arial" w:hAnsi="Arial" w:cs="Arial"/>
          <w:sz w:val="28"/>
          <w:szCs w:val="28"/>
        </w:rPr>
        <w:t>: The risk that a bank will not be able to meet its short-term financial obligations due to an inability to convert assets into cash quickly.</w:t>
      </w:r>
    </w:p>
    <w:p w14:paraId="2636CCA5" w14:textId="77777777" w:rsidR="00BC16A4" w:rsidRPr="00BC16A4" w:rsidRDefault="00BC16A4" w:rsidP="00BC16A4">
      <w:pPr>
        <w:numPr>
          <w:ilvl w:val="0"/>
          <w:numId w:val="3"/>
        </w:numPr>
        <w:rPr>
          <w:rFonts w:ascii="Arial" w:hAnsi="Arial" w:cs="Arial"/>
          <w:sz w:val="28"/>
          <w:szCs w:val="28"/>
        </w:rPr>
      </w:pPr>
      <w:r w:rsidRPr="00BC16A4">
        <w:rPr>
          <w:rFonts w:ascii="Arial" w:hAnsi="Arial" w:cs="Arial"/>
          <w:b/>
          <w:bCs/>
          <w:sz w:val="28"/>
          <w:szCs w:val="28"/>
        </w:rPr>
        <w:t>Compliance Risk</w:t>
      </w:r>
      <w:r w:rsidRPr="00BC16A4">
        <w:rPr>
          <w:rFonts w:ascii="Arial" w:hAnsi="Arial" w:cs="Arial"/>
          <w:sz w:val="28"/>
          <w:szCs w:val="28"/>
        </w:rPr>
        <w:t>: The risk of legal or regulatory sanctions, financial loss, or reputational damage due to non-compliance with laws, regulations, or internal policies.</w:t>
      </w:r>
    </w:p>
    <w:p w14:paraId="1F559735" w14:textId="77777777" w:rsidR="00BC16A4" w:rsidRPr="00BC16A4" w:rsidRDefault="00BC16A4" w:rsidP="00BC16A4">
      <w:pPr>
        <w:numPr>
          <w:ilvl w:val="0"/>
          <w:numId w:val="3"/>
        </w:numPr>
        <w:rPr>
          <w:rFonts w:ascii="Arial" w:hAnsi="Arial" w:cs="Arial"/>
          <w:sz w:val="28"/>
          <w:szCs w:val="28"/>
        </w:rPr>
      </w:pPr>
      <w:r w:rsidRPr="00BC16A4">
        <w:rPr>
          <w:rFonts w:ascii="Arial" w:hAnsi="Arial" w:cs="Arial"/>
          <w:b/>
          <w:bCs/>
          <w:sz w:val="28"/>
          <w:szCs w:val="28"/>
        </w:rPr>
        <w:t>Value at Risk (</w:t>
      </w:r>
      <w:proofErr w:type="spellStart"/>
      <w:r w:rsidRPr="00BC16A4">
        <w:rPr>
          <w:rFonts w:ascii="Arial" w:hAnsi="Arial" w:cs="Arial"/>
          <w:b/>
          <w:bCs/>
          <w:sz w:val="28"/>
          <w:szCs w:val="28"/>
        </w:rPr>
        <w:t>VaR</w:t>
      </w:r>
      <w:proofErr w:type="spellEnd"/>
      <w:r w:rsidRPr="00BC16A4">
        <w:rPr>
          <w:rFonts w:ascii="Arial" w:hAnsi="Arial" w:cs="Arial"/>
          <w:b/>
          <w:bCs/>
          <w:sz w:val="28"/>
          <w:szCs w:val="28"/>
        </w:rPr>
        <w:t>)</w:t>
      </w:r>
      <w:r w:rsidRPr="00BC16A4">
        <w:rPr>
          <w:rFonts w:ascii="Arial" w:hAnsi="Arial" w:cs="Arial"/>
          <w:sz w:val="28"/>
          <w:szCs w:val="28"/>
        </w:rPr>
        <w:t>: A statistical measure that estimates the potential loss in value of a portfolio over a specified period with a given confidence level.</w:t>
      </w:r>
    </w:p>
    <w:p w14:paraId="31969EC0" w14:textId="77777777" w:rsidR="00BC16A4" w:rsidRPr="00BC16A4" w:rsidRDefault="00BC16A4" w:rsidP="00BC16A4">
      <w:pPr>
        <w:numPr>
          <w:ilvl w:val="0"/>
          <w:numId w:val="3"/>
        </w:numPr>
        <w:rPr>
          <w:rFonts w:ascii="Arial" w:hAnsi="Arial" w:cs="Arial"/>
          <w:sz w:val="28"/>
          <w:szCs w:val="28"/>
        </w:rPr>
      </w:pPr>
      <w:r w:rsidRPr="00BC16A4">
        <w:rPr>
          <w:rFonts w:ascii="Arial" w:hAnsi="Arial" w:cs="Arial"/>
          <w:b/>
          <w:bCs/>
          <w:sz w:val="28"/>
          <w:szCs w:val="28"/>
        </w:rPr>
        <w:t>Stress Testing</w:t>
      </w:r>
      <w:r w:rsidRPr="00BC16A4">
        <w:rPr>
          <w:rFonts w:ascii="Arial" w:hAnsi="Arial" w:cs="Arial"/>
          <w:sz w:val="28"/>
          <w:szCs w:val="28"/>
        </w:rPr>
        <w:t>: A risk management technique that evaluates the potential impact of extreme but plausible adverse scenarios on a bank's financial position.</w:t>
      </w:r>
    </w:p>
    <w:p w14:paraId="7A550510" w14:textId="77777777" w:rsidR="00BC16A4" w:rsidRPr="00BC16A4" w:rsidRDefault="00BC16A4" w:rsidP="00BC16A4">
      <w:pPr>
        <w:numPr>
          <w:ilvl w:val="0"/>
          <w:numId w:val="3"/>
        </w:numPr>
        <w:rPr>
          <w:rFonts w:ascii="Arial" w:hAnsi="Arial" w:cs="Arial"/>
          <w:sz w:val="28"/>
          <w:szCs w:val="28"/>
        </w:rPr>
      </w:pPr>
      <w:r w:rsidRPr="00BC16A4">
        <w:rPr>
          <w:rFonts w:ascii="Arial" w:hAnsi="Arial" w:cs="Arial"/>
          <w:b/>
          <w:bCs/>
          <w:sz w:val="28"/>
          <w:szCs w:val="28"/>
        </w:rPr>
        <w:t>Capital Adequacy</w:t>
      </w:r>
      <w:r w:rsidRPr="00BC16A4">
        <w:rPr>
          <w:rFonts w:ascii="Arial" w:hAnsi="Arial" w:cs="Arial"/>
          <w:sz w:val="28"/>
          <w:szCs w:val="28"/>
        </w:rPr>
        <w:t>: The requirement for banks to maintain sufficient capital to absorb potential losses and meet regulatory requirements.</w:t>
      </w:r>
    </w:p>
    <w:p w14:paraId="2AB0246F" w14:textId="77777777" w:rsidR="00BC16A4" w:rsidRPr="00BC16A4" w:rsidRDefault="00BC16A4" w:rsidP="00BC16A4">
      <w:pPr>
        <w:numPr>
          <w:ilvl w:val="0"/>
          <w:numId w:val="3"/>
        </w:numPr>
        <w:rPr>
          <w:rFonts w:ascii="Arial" w:hAnsi="Arial" w:cs="Arial"/>
          <w:sz w:val="28"/>
          <w:szCs w:val="28"/>
        </w:rPr>
      </w:pPr>
      <w:r w:rsidRPr="00BC16A4">
        <w:rPr>
          <w:rFonts w:ascii="Arial" w:hAnsi="Arial" w:cs="Arial"/>
          <w:b/>
          <w:bCs/>
          <w:sz w:val="28"/>
          <w:szCs w:val="28"/>
        </w:rPr>
        <w:t>Basel Accords</w:t>
      </w:r>
      <w:r w:rsidRPr="00BC16A4">
        <w:rPr>
          <w:rFonts w:ascii="Arial" w:hAnsi="Arial" w:cs="Arial"/>
          <w:sz w:val="28"/>
          <w:szCs w:val="28"/>
        </w:rPr>
        <w:t>: A set of international banking regulations developed by the Basel Committee on Banking Supervision to ensure that banks maintain adequate capital to manage risks.</w:t>
      </w:r>
    </w:p>
    <w:p w14:paraId="77E4205D" w14:textId="77777777" w:rsidR="00E67F5F" w:rsidRDefault="00E67F5F" w:rsidP="00722852">
      <w:pPr>
        <w:rPr>
          <w:rFonts w:ascii="Arial" w:hAnsi="Arial" w:cs="Arial"/>
          <w:b/>
          <w:bCs/>
          <w:sz w:val="28"/>
          <w:szCs w:val="28"/>
        </w:rPr>
      </w:pPr>
    </w:p>
    <w:p w14:paraId="7653D540" w14:textId="65BBFCF5" w:rsidR="00722852" w:rsidRPr="00E67F5F" w:rsidRDefault="00722852" w:rsidP="00722852">
      <w:pPr>
        <w:rPr>
          <w:rFonts w:ascii="Arial" w:hAnsi="Arial" w:cs="Arial"/>
          <w:b/>
          <w:bCs/>
          <w:sz w:val="28"/>
          <w:szCs w:val="28"/>
        </w:rPr>
      </w:pPr>
      <w:r w:rsidRPr="00E67F5F">
        <w:rPr>
          <w:rFonts w:ascii="Arial" w:hAnsi="Arial" w:cs="Arial"/>
          <w:b/>
          <w:bCs/>
          <w:sz w:val="28"/>
          <w:szCs w:val="28"/>
        </w:rPr>
        <w:lastRenderedPageBreak/>
        <w:t>Graphs:</w:t>
      </w:r>
    </w:p>
    <w:p w14:paraId="65ACFF6E" w14:textId="38D01A38" w:rsidR="00722852" w:rsidRPr="00E67F5F" w:rsidRDefault="00722852" w:rsidP="00722852">
      <w:pPr>
        <w:rPr>
          <w:rFonts w:ascii="Arial" w:hAnsi="Arial" w:cs="Arial"/>
          <w:sz w:val="28"/>
          <w:szCs w:val="28"/>
        </w:rPr>
      </w:pPr>
      <w:r w:rsidRPr="00E67F5F">
        <w:rPr>
          <w:rFonts w:ascii="Arial" w:hAnsi="Arial" w:cs="Arial"/>
          <w:b/>
          <w:bCs/>
          <w:sz w:val="28"/>
          <w:szCs w:val="28"/>
        </w:rPr>
        <w:t xml:space="preserve">Graph </w:t>
      </w:r>
      <w:r w:rsidRPr="00E67F5F">
        <w:rPr>
          <w:rFonts w:ascii="Arial" w:hAnsi="Arial" w:cs="Arial"/>
          <w:b/>
          <w:bCs/>
          <w:sz w:val="28"/>
          <w:szCs w:val="28"/>
        </w:rPr>
        <w:t>3</w:t>
      </w:r>
      <w:r w:rsidRPr="00E67F5F">
        <w:rPr>
          <w:rFonts w:ascii="Arial" w:hAnsi="Arial" w:cs="Arial"/>
          <w:b/>
          <w:bCs/>
          <w:sz w:val="28"/>
          <w:szCs w:val="28"/>
        </w:rPr>
        <w:t>.A:</w:t>
      </w:r>
      <w:r w:rsidRPr="00E67F5F">
        <w:rPr>
          <w:rFonts w:ascii="Arial" w:hAnsi="Arial" w:cs="Arial"/>
          <w:sz w:val="28"/>
          <w:szCs w:val="28"/>
        </w:rPr>
        <w:t xml:space="preserve"> Risk Management in Banking Operations: Annualized Volatility:</w:t>
      </w:r>
    </w:p>
    <w:p w14:paraId="4E4E05D9" w14:textId="01B837A2" w:rsidR="00722852" w:rsidRPr="00E67F5F" w:rsidRDefault="00722852" w:rsidP="00722852">
      <w:pPr>
        <w:rPr>
          <w:rFonts w:ascii="Arial" w:hAnsi="Arial" w:cs="Arial"/>
          <w:b/>
          <w:bCs/>
          <w:sz w:val="28"/>
          <w:szCs w:val="28"/>
        </w:rPr>
      </w:pPr>
      <w:r w:rsidRPr="00E67F5F">
        <w:rPr>
          <w:rFonts w:ascii="Arial" w:hAnsi="Arial" w:cs="Arial"/>
          <w:noProof/>
          <w:sz w:val="28"/>
          <w:szCs w:val="28"/>
        </w:rPr>
        <w:drawing>
          <wp:inline distT="0" distB="0" distL="0" distR="0" wp14:anchorId="26944EDD" wp14:editId="6F14B7D3">
            <wp:extent cx="5731510" cy="3359150"/>
            <wp:effectExtent l="0" t="0" r="2540" b="0"/>
            <wp:docPr id="499055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59150"/>
                    </a:xfrm>
                    <a:prstGeom prst="rect">
                      <a:avLst/>
                    </a:prstGeom>
                    <a:noFill/>
                    <a:ln>
                      <a:noFill/>
                    </a:ln>
                  </pic:spPr>
                </pic:pic>
              </a:graphicData>
            </a:graphic>
          </wp:inline>
        </w:drawing>
      </w:r>
      <w:r w:rsidRPr="00E67F5F">
        <w:rPr>
          <w:rFonts w:ascii="Arial" w:hAnsi="Arial" w:cs="Arial"/>
          <w:b/>
          <w:bCs/>
          <w:sz w:val="28"/>
          <w:szCs w:val="28"/>
        </w:rPr>
        <w:t>Inference</w:t>
      </w:r>
      <w:r w:rsidRPr="00E67F5F">
        <w:rPr>
          <w:rFonts w:ascii="Arial" w:hAnsi="Arial" w:cs="Arial"/>
          <w:sz w:val="28"/>
          <w:szCs w:val="28"/>
        </w:rPr>
        <w:t>:</w:t>
      </w:r>
    </w:p>
    <w:p w14:paraId="22432542" w14:textId="77777777" w:rsidR="00722852" w:rsidRPr="00722852" w:rsidRDefault="00722852" w:rsidP="00722852">
      <w:pPr>
        <w:numPr>
          <w:ilvl w:val="0"/>
          <w:numId w:val="7"/>
        </w:numPr>
        <w:rPr>
          <w:rFonts w:ascii="Arial" w:hAnsi="Arial" w:cs="Arial"/>
          <w:sz w:val="28"/>
          <w:szCs w:val="28"/>
        </w:rPr>
      </w:pPr>
      <w:r w:rsidRPr="00722852">
        <w:rPr>
          <w:rFonts w:ascii="Arial" w:hAnsi="Arial" w:cs="Arial"/>
          <w:b/>
          <w:bCs/>
          <w:sz w:val="28"/>
          <w:szCs w:val="28"/>
        </w:rPr>
        <w:t>Risk Assessment</w:t>
      </w:r>
      <w:r w:rsidRPr="00722852">
        <w:rPr>
          <w:rFonts w:ascii="Arial" w:hAnsi="Arial" w:cs="Arial"/>
          <w:sz w:val="28"/>
          <w:szCs w:val="28"/>
        </w:rPr>
        <w:t>: Volatility is a measure of risk. Higher volatility indicates higher risk, as the stock price is more likely to experience significant fluctuations.</w:t>
      </w:r>
    </w:p>
    <w:p w14:paraId="04F91D23" w14:textId="77777777" w:rsidR="00722852" w:rsidRPr="00722852" w:rsidRDefault="00722852" w:rsidP="00722852">
      <w:pPr>
        <w:numPr>
          <w:ilvl w:val="0"/>
          <w:numId w:val="7"/>
        </w:numPr>
        <w:rPr>
          <w:rFonts w:ascii="Arial" w:hAnsi="Arial" w:cs="Arial"/>
          <w:sz w:val="28"/>
          <w:szCs w:val="28"/>
        </w:rPr>
      </w:pPr>
      <w:r w:rsidRPr="00722852">
        <w:rPr>
          <w:rFonts w:ascii="Arial" w:hAnsi="Arial" w:cs="Arial"/>
          <w:b/>
          <w:bCs/>
          <w:sz w:val="28"/>
          <w:szCs w:val="28"/>
        </w:rPr>
        <w:t>Market Stability</w:t>
      </w:r>
      <w:r w:rsidRPr="00722852">
        <w:rPr>
          <w:rFonts w:ascii="Arial" w:hAnsi="Arial" w:cs="Arial"/>
          <w:sz w:val="28"/>
          <w:szCs w:val="28"/>
        </w:rPr>
        <w:t>: Periods of high volatility can indicate market instability or uncertainty, while lower volatility suggests a more stable market environment.</w:t>
      </w:r>
    </w:p>
    <w:p w14:paraId="63DF781E" w14:textId="77777777" w:rsidR="00722852" w:rsidRPr="00722852" w:rsidRDefault="00722852" w:rsidP="00722852">
      <w:pPr>
        <w:numPr>
          <w:ilvl w:val="0"/>
          <w:numId w:val="7"/>
        </w:numPr>
        <w:rPr>
          <w:rFonts w:ascii="Arial" w:hAnsi="Arial" w:cs="Arial"/>
          <w:sz w:val="28"/>
          <w:szCs w:val="28"/>
        </w:rPr>
      </w:pPr>
      <w:r w:rsidRPr="00722852">
        <w:rPr>
          <w:rFonts w:ascii="Arial" w:hAnsi="Arial" w:cs="Arial"/>
          <w:b/>
          <w:bCs/>
          <w:sz w:val="28"/>
          <w:szCs w:val="28"/>
        </w:rPr>
        <w:t>Investment Strategy</w:t>
      </w:r>
      <w:r w:rsidRPr="00722852">
        <w:rPr>
          <w:rFonts w:ascii="Arial" w:hAnsi="Arial" w:cs="Arial"/>
          <w:sz w:val="28"/>
          <w:szCs w:val="28"/>
        </w:rPr>
        <w:t>: Investors with different risk appetites can use volatility information to tailor their investment strategies. Risk-averse investors may prefer stocks with lower volatility.</w:t>
      </w:r>
    </w:p>
    <w:p w14:paraId="5D501B67" w14:textId="77777777" w:rsidR="00E67F5F" w:rsidRDefault="00E67F5F" w:rsidP="00E80718">
      <w:pPr>
        <w:rPr>
          <w:rFonts w:ascii="Arial" w:hAnsi="Arial" w:cs="Arial"/>
          <w:b/>
          <w:bCs/>
          <w:sz w:val="28"/>
          <w:szCs w:val="28"/>
        </w:rPr>
      </w:pPr>
    </w:p>
    <w:p w14:paraId="35F8B747" w14:textId="77777777" w:rsidR="00E67F5F" w:rsidRDefault="00E67F5F" w:rsidP="00E80718">
      <w:pPr>
        <w:rPr>
          <w:rFonts w:ascii="Arial" w:hAnsi="Arial" w:cs="Arial"/>
          <w:b/>
          <w:bCs/>
          <w:sz w:val="28"/>
          <w:szCs w:val="28"/>
        </w:rPr>
      </w:pPr>
    </w:p>
    <w:p w14:paraId="743177F7" w14:textId="77777777" w:rsidR="00E67F5F" w:rsidRDefault="00E67F5F" w:rsidP="00E80718">
      <w:pPr>
        <w:rPr>
          <w:rFonts w:ascii="Arial" w:hAnsi="Arial" w:cs="Arial"/>
          <w:b/>
          <w:bCs/>
          <w:sz w:val="28"/>
          <w:szCs w:val="28"/>
        </w:rPr>
      </w:pPr>
    </w:p>
    <w:p w14:paraId="701218EB" w14:textId="77777777" w:rsidR="00E67F5F" w:rsidRDefault="00E67F5F" w:rsidP="00E80718">
      <w:pPr>
        <w:rPr>
          <w:rFonts w:ascii="Arial" w:hAnsi="Arial" w:cs="Arial"/>
          <w:b/>
          <w:bCs/>
          <w:sz w:val="28"/>
          <w:szCs w:val="28"/>
        </w:rPr>
      </w:pPr>
    </w:p>
    <w:p w14:paraId="2F4C6EF1" w14:textId="77777777" w:rsidR="00E67F5F" w:rsidRDefault="00E67F5F" w:rsidP="00E80718">
      <w:pPr>
        <w:rPr>
          <w:rFonts w:ascii="Arial" w:hAnsi="Arial" w:cs="Arial"/>
          <w:b/>
          <w:bCs/>
          <w:sz w:val="28"/>
          <w:szCs w:val="28"/>
        </w:rPr>
      </w:pPr>
    </w:p>
    <w:p w14:paraId="11E0BAA1" w14:textId="5A88059E" w:rsidR="00E80718" w:rsidRPr="00E67F5F" w:rsidRDefault="00E80718" w:rsidP="00E80718">
      <w:pPr>
        <w:rPr>
          <w:rFonts w:ascii="Arial" w:hAnsi="Arial" w:cs="Arial"/>
          <w:sz w:val="28"/>
          <w:szCs w:val="28"/>
        </w:rPr>
      </w:pPr>
      <w:r w:rsidRPr="00E67F5F">
        <w:rPr>
          <w:rFonts w:ascii="Arial" w:hAnsi="Arial" w:cs="Arial"/>
          <w:b/>
          <w:bCs/>
          <w:sz w:val="28"/>
          <w:szCs w:val="28"/>
        </w:rPr>
        <w:lastRenderedPageBreak/>
        <w:t>Graph 3.</w:t>
      </w:r>
      <w:r w:rsidRPr="00E67F5F">
        <w:rPr>
          <w:rFonts w:ascii="Arial" w:hAnsi="Arial" w:cs="Arial"/>
          <w:b/>
          <w:bCs/>
          <w:sz w:val="28"/>
          <w:szCs w:val="28"/>
        </w:rPr>
        <w:t>B</w:t>
      </w:r>
      <w:r w:rsidRPr="00E67F5F">
        <w:rPr>
          <w:rFonts w:ascii="Arial" w:hAnsi="Arial" w:cs="Arial"/>
          <w:b/>
          <w:bCs/>
          <w:sz w:val="28"/>
          <w:szCs w:val="28"/>
        </w:rPr>
        <w:t>:</w:t>
      </w:r>
      <w:r w:rsidRPr="00E67F5F">
        <w:rPr>
          <w:rFonts w:ascii="Arial" w:hAnsi="Arial" w:cs="Arial"/>
          <w:sz w:val="28"/>
          <w:szCs w:val="28"/>
        </w:rPr>
        <w:t xml:space="preserve"> Risk Management in Banking Operations: Value at Risk (</w:t>
      </w:r>
      <w:proofErr w:type="spellStart"/>
      <w:r w:rsidRPr="00E67F5F">
        <w:rPr>
          <w:rFonts w:ascii="Arial" w:hAnsi="Arial" w:cs="Arial"/>
          <w:sz w:val="28"/>
          <w:szCs w:val="28"/>
        </w:rPr>
        <w:t>VaR</w:t>
      </w:r>
      <w:proofErr w:type="spellEnd"/>
      <w:r w:rsidRPr="00E67F5F">
        <w:rPr>
          <w:rFonts w:ascii="Arial" w:hAnsi="Arial" w:cs="Arial"/>
          <w:sz w:val="28"/>
          <w:szCs w:val="28"/>
        </w:rPr>
        <w:t>):</w:t>
      </w:r>
    </w:p>
    <w:p w14:paraId="03A3F008" w14:textId="79D4F474" w:rsidR="00E80718" w:rsidRPr="00E67F5F" w:rsidRDefault="00E80718" w:rsidP="00E80718">
      <w:pPr>
        <w:rPr>
          <w:rFonts w:ascii="Arial" w:hAnsi="Arial" w:cs="Arial"/>
          <w:sz w:val="28"/>
          <w:szCs w:val="28"/>
        </w:rPr>
      </w:pPr>
      <w:r w:rsidRPr="00E67F5F">
        <w:rPr>
          <w:rFonts w:ascii="Arial" w:hAnsi="Arial" w:cs="Arial"/>
          <w:noProof/>
          <w:sz w:val="28"/>
          <w:szCs w:val="28"/>
        </w:rPr>
        <w:drawing>
          <wp:inline distT="0" distB="0" distL="0" distR="0" wp14:anchorId="6BF8CE12" wp14:editId="15C92F82">
            <wp:extent cx="5731510" cy="3384550"/>
            <wp:effectExtent l="0" t="0" r="2540" b="6350"/>
            <wp:docPr id="8134017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84550"/>
                    </a:xfrm>
                    <a:prstGeom prst="rect">
                      <a:avLst/>
                    </a:prstGeom>
                    <a:noFill/>
                    <a:ln>
                      <a:noFill/>
                    </a:ln>
                  </pic:spPr>
                </pic:pic>
              </a:graphicData>
            </a:graphic>
          </wp:inline>
        </w:drawing>
      </w:r>
      <w:r w:rsidRPr="00E67F5F">
        <w:rPr>
          <w:rFonts w:ascii="Arial" w:hAnsi="Arial" w:cs="Arial"/>
          <w:b/>
          <w:bCs/>
          <w:sz w:val="28"/>
          <w:szCs w:val="28"/>
        </w:rPr>
        <w:t>Inference</w:t>
      </w:r>
      <w:r w:rsidRPr="00E67F5F">
        <w:rPr>
          <w:rFonts w:ascii="Arial" w:hAnsi="Arial" w:cs="Arial"/>
          <w:sz w:val="28"/>
          <w:szCs w:val="28"/>
        </w:rPr>
        <w:t>:</w:t>
      </w:r>
    </w:p>
    <w:p w14:paraId="433C08BF" w14:textId="77777777" w:rsidR="00E80718" w:rsidRPr="00E80718" w:rsidRDefault="00E80718" w:rsidP="00E80718">
      <w:pPr>
        <w:numPr>
          <w:ilvl w:val="0"/>
          <w:numId w:val="10"/>
        </w:numPr>
        <w:rPr>
          <w:rFonts w:ascii="Arial" w:hAnsi="Arial" w:cs="Arial"/>
          <w:sz w:val="28"/>
          <w:szCs w:val="28"/>
        </w:rPr>
      </w:pPr>
      <w:r w:rsidRPr="00E80718">
        <w:rPr>
          <w:rFonts w:ascii="Arial" w:hAnsi="Arial" w:cs="Arial"/>
          <w:b/>
          <w:bCs/>
          <w:sz w:val="28"/>
          <w:szCs w:val="28"/>
        </w:rPr>
        <w:t>Risk Quantification</w:t>
      </w:r>
      <w:r w:rsidRPr="00E80718">
        <w:rPr>
          <w:rFonts w:ascii="Arial" w:hAnsi="Arial" w:cs="Arial"/>
          <w:sz w:val="28"/>
          <w:szCs w:val="28"/>
        </w:rPr>
        <w:t xml:space="preserve">: </w:t>
      </w:r>
      <w:proofErr w:type="spellStart"/>
      <w:r w:rsidRPr="00E80718">
        <w:rPr>
          <w:rFonts w:ascii="Arial" w:hAnsi="Arial" w:cs="Arial"/>
          <w:sz w:val="28"/>
          <w:szCs w:val="28"/>
        </w:rPr>
        <w:t>VaR</w:t>
      </w:r>
      <w:proofErr w:type="spellEnd"/>
      <w:r w:rsidRPr="00E80718">
        <w:rPr>
          <w:rFonts w:ascii="Arial" w:hAnsi="Arial" w:cs="Arial"/>
          <w:sz w:val="28"/>
          <w:szCs w:val="28"/>
        </w:rPr>
        <w:t xml:space="preserve"> quantifies the potential loss in value of a bank's stock with a given confidence level (e.g., 95%). It provides a measure of the maximum expected loss over a specified period.</w:t>
      </w:r>
    </w:p>
    <w:p w14:paraId="712856CF" w14:textId="77777777" w:rsidR="00E80718" w:rsidRPr="00E80718" w:rsidRDefault="00E80718" w:rsidP="00E80718">
      <w:pPr>
        <w:numPr>
          <w:ilvl w:val="0"/>
          <w:numId w:val="10"/>
        </w:numPr>
        <w:rPr>
          <w:rFonts w:ascii="Arial" w:hAnsi="Arial" w:cs="Arial"/>
          <w:sz w:val="28"/>
          <w:szCs w:val="28"/>
        </w:rPr>
      </w:pPr>
      <w:r w:rsidRPr="00E80718">
        <w:rPr>
          <w:rFonts w:ascii="Arial" w:hAnsi="Arial" w:cs="Arial"/>
          <w:b/>
          <w:bCs/>
          <w:sz w:val="28"/>
          <w:szCs w:val="28"/>
        </w:rPr>
        <w:t>Comparative Risk</w:t>
      </w:r>
      <w:r w:rsidRPr="00E80718">
        <w:rPr>
          <w:rFonts w:ascii="Arial" w:hAnsi="Arial" w:cs="Arial"/>
          <w:sz w:val="28"/>
          <w:szCs w:val="28"/>
        </w:rPr>
        <w:t xml:space="preserve">: By comparing </w:t>
      </w:r>
      <w:proofErr w:type="spellStart"/>
      <w:r w:rsidRPr="00E80718">
        <w:rPr>
          <w:rFonts w:ascii="Arial" w:hAnsi="Arial" w:cs="Arial"/>
          <w:sz w:val="28"/>
          <w:szCs w:val="28"/>
        </w:rPr>
        <w:t>VaR</w:t>
      </w:r>
      <w:proofErr w:type="spellEnd"/>
      <w:r w:rsidRPr="00E80718">
        <w:rPr>
          <w:rFonts w:ascii="Arial" w:hAnsi="Arial" w:cs="Arial"/>
          <w:sz w:val="28"/>
          <w:szCs w:val="28"/>
        </w:rPr>
        <w:t xml:space="preserve"> across banks, investors can assess the relative risk associated with each bank's stock.</w:t>
      </w:r>
    </w:p>
    <w:p w14:paraId="339731B8" w14:textId="77777777" w:rsidR="00E80718" w:rsidRPr="00E80718" w:rsidRDefault="00E80718" w:rsidP="00E80718">
      <w:pPr>
        <w:numPr>
          <w:ilvl w:val="0"/>
          <w:numId w:val="10"/>
        </w:numPr>
        <w:rPr>
          <w:rFonts w:ascii="Arial" w:hAnsi="Arial" w:cs="Arial"/>
          <w:sz w:val="28"/>
          <w:szCs w:val="28"/>
        </w:rPr>
      </w:pPr>
      <w:r w:rsidRPr="00E80718">
        <w:rPr>
          <w:rFonts w:ascii="Arial" w:hAnsi="Arial" w:cs="Arial"/>
          <w:b/>
          <w:bCs/>
          <w:sz w:val="28"/>
          <w:szCs w:val="28"/>
        </w:rPr>
        <w:t>Risk Management</w:t>
      </w:r>
      <w:r w:rsidRPr="00E80718">
        <w:rPr>
          <w:rFonts w:ascii="Arial" w:hAnsi="Arial" w:cs="Arial"/>
          <w:sz w:val="28"/>
          <w:szCs w:val="28"/>
        </w:rPr>
        <w:t xml:space="preserve">: Banks and investors use </w:t>
      </w:r>
      <w:proofErr w:type="spellStart"/>
      <w:r w:rsidRPr="00E80718">
        <w:rPr>
          <w:rFonts w:ascii="Arial" w:hAnsi="Arial" w:cs="Arial"/>
          <w:sz w:val="28"/>
          <w:szCs w:val="28"/>
        </w:rPr>
        <w:t>VaR</w:t>
      </w:r>
      <w:proofErr w:type="spellEnd"/>
      <w:r w:rsidRPr="00E80718">
        <w:rPr>
          <w:rFonts w:ascii="Arial" w:hAnsi="Arial" w:cs="Arial"/>
          <w:sz w:val="28"/>
          <w:szCs w:val="28"/>
        </w:rPr>
        <w:t xml:space="preserve"> to manage and mitigate potential losses, ensuring they are within acceptable risk limits.</w:t>
      </w:r>
    </w:p>
    <w:p w14:paraId="61C532A3" w14:textId="77777777" w:rsidR="00E67F5F" w:rsidRDefault="00E67F5F" w:rsidP="000E47C4">
      <w:pPr>
        <w:rPr>
          <w:rFonts w:ascii="Arial" w:hAnsi="Arial" w:cs="Arial"/>
          <w:b/>
          <w:bCs/>
          <w:sz w:val="28"/>
          <w:szCs w:val="28"/>
        </w:rPr>
      </w:pPr>
    </w:p>
    <w:p w14:paraId="2BA7CC4E" w14:textId="77777777" w:rsidR="00E67F5F" w:rsidRDefault="00E67F5F" w:rsidP="000E47C4">
      <w:pPr>
        <w:rPr>
          <w:rFonts w:ascii="Arial" w:hAnsi="Arial" w:cs="Arial"/>
          <w:b/>
          <w:bCs/>
          <w:sz w:val="28"/>
          <w:szCs w:val="28"/>
        </w:rPr>
      </w:pPr>
    </w:p>
    <w:p w14:paraId="7339A500" w14:textId="77777777" w:rsidR="00E67F5F" w:rsidRDefault="00E67F5F" w:rsidP="000E47C4">
      <w:pPr>
        <w:rPr>
          <w:rFonts w:ascii="Arial" w:hAnsi="Arial" w:cs="Arial"/>
          <w:b/>
          <w:bCs/>
          <w:sz w:val="28"/>
          <w:szCs w:val="28"/>
        </w:rPr>
      </w:pPr>
    </w:p>
    <w:p w14:paraId="7DAAB79A" w14:textId="77777777" w:rsidR="00E67F5F" w:rsidRDefault="00E67F5F" w:rsidP="000E47C4">
      <w:pPr>
        <w:rPr>
          <w:rFonts w:ascii="Arial" w:hAnsi="Arial" w:cs="Arial"/>
          <w:b/>
          <w:bCs/>
          <w:sz w:val="28"/>
          <w:szCs w:val="28"/>
        </w:rPr>
      </w:pPr>
    </w:p>
    <w:p w14:paraId="0DFA25C3" w14:textId="77777777" w:rsidR="00E67F5F" w:rsidRDefault="00E67F5F" w:rsidP="000E47C4">
      <w:pPr>
        <w:rPr>
          <w:rFonts w:ascii="Arial" w:hAnsi="Arial" w:cs="Arial"/>
          <w:b/>
          <w:bCs/>
          <w:sz w:val="28"/>
          <w:szCs w:val="28"/>
        </w:rPr>
      </w:pPr>
    </w:p>
    <w:p w14:paraId="739DE366" w14:textId="77777777" w:rsidR="00E67F5F" w:rsidRDefault="00E67F5F" w:rsidP="000E47C4">
      <w:pPr>
        <w:rPr>
          <w:rFonts w:ascii="Arial" w:hAnsi="Arial" w:cs="Arial"/>
          <w:b/>
          <w:bCs/>
          <w:sz w:val="28"/>
          <w:szCs w:val="28"/>
        </w:rPr>
      </w:pPr>
    </w:p>
    <w:p w14:paraId="58437DDE" w14:textId="77777777" w:rsidR="00E67F5F" w:rsidRDefault="00E67F5F" w:rsidP="000E47C4">
      <w:pPr>
        <w:rPr>
          <w:rFonts w:ascii="Arial" w:hAnsi="Arial" w:cs="Arial"/>
          <w:b/>
          <w:bCs/>
          <w:sz w:val="28"/>
          <w:szCs w:val="28"/>
        </w:rPr>
      </w:pPr>
    </w:p>
    <w:p w14:paraId="7C96057E" w14:textId="77777777" w:rsidR="00E67F5F" w:rsidRDefault="00E67F5F" w:rsidP="000E47C4">
      <w:pPr>
        <w:rPr>
          <w:rFonts w:ascii="Arial" w:hAnsi="Arial" w:cs="Arial"/>
          <w:b/>
          <w:bCs/>
          <w:sz w:val="28"/>
          <w:szCs w:val="28"/>
        </w:rPr>
      </w:pPr>
    </w:p>
    <w:p w14:paraId="74B7C5D1" w14:textId="7263E005" w:rsidR="000E47C4" w:rsidRPr="00E67F5F" w:rsidRDefault="000E47C4" w:rsidP="000E47C4">
      <w:pPr>
        <w:rPr>
          <w:rFonts w:ascii="Arial" w:hAnsi="Arial" w:cs="Arial"/>
          <w:sz w:val="28"/>
          <w:szCs w:val="28"/>
        </w:rPr>
      </w:pPr>
      <w:r w:rsidRPr="00E67F5F">
        <w:rPr>
          <w:rFonts w:ascii="Arial" w:hAnsi="Arial" w:cs="Arial"/>
          <w:b/>
          <w:bCs/>
          <w:sz w:val="28"/>
          <w:szCs w:val="28"/>
        </w:rPr>
        <w:lastRenderedPageBreak/>
        <w:t>Graph 3.</w:t>
      </w:r>
      <w:r w:rsidRPr="00E67F5F">
        <w:rPr>
          <w:rFonts w:ascii="Arial" w:hAnsi="Arial" w:cs="Arial"/>
          <w:b/>
          <w:bCs/>
          <w:sz w:val="28"/>
          <w:szCs w:val="28"/>
        </w:rPr>
        <w:t>C</w:t>
      </w:r>
      <w:r w:rsidRPr="00E67F5F">
        <w:rPr>
          <w:rFonts w:ascii="Arial" w:hAnsi="Arial" w:cs="Arial"/>
          <w:b/>
          <w:bCs/>
          <w:sz w:val="28"/>
          <w:szCs w:val="28"/>
        </w:rPr>
        <w:t>:</w:t>
      </w:r>
      <w:r w:rsidRPr="00E67F5F">
        <w:rPr>
          <w:rFonts w:ascii="Arial" w:hAnsi="Arial" w:cs="Arial"/>
          <w:sz w:val="28"/>
          <w:szCs w:val="28"/>
        </w:rPr>
        <w:t xml:space="preserve"> Risk Management in Banking Operations: Sharpe Ratio:</w:t>
      </w:r>
    </w:p>
    <w:p w14:paraId="6F494891" w14:textId="4EDCD0F8" w:rsidR="000E47C4" w:rsidRPr="00E67F5F" w:rsidRDefault="000E47C4" w:rsidP="000E47C4">
      <w:pPr>
        <w:rPr>
          <w:rFonts w:ascii="Arial" w:hAnsi="Arial" w:cs="Arial"/>
          <w:sz w:val="28"/>
          <w:szCs w:val="28"/>
        </w:rPr>
      </w:pPr>
      <w:r w:rsidRPr="00E67F5F">
        <w:rPr>
          <w:rFonts w:ascii="Arial" w:hAnsi="Arial" w:cs="Arial"/>
          <w:noProof/>
          <w:sz w:val="28"/>
          <w:szCs w:val="28"/>
        </w:rPr>
        <w:drawing>
          <wp:inline distT="0" distB="0" distL="0" distR="0" wp14:anchorId="7756BC23" wp14:editId="20A2A618">
            <wp:extent cx="5731510" cy="3543300"/>
            <wp:effectExtent l="0" t="0" r="2540" b="0"/>
            <wp:docPr id="21372823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noFill/>
                    </a:ln>
                  </pic:spPr>
                </pic:pic>
              </a:graphicData>
            </a:graphic>
          </wp:inline>
        </w:drawing>
      </w:r>
      <w:r w:rsidRPr="00E67F5F">
        <w:rPr>
          <w:rFonts w:ascii="Arial" w:hAnsi="Arial" w:cs="Arial"/>
          <w:b/>
          <w:bCs/>
          <w:sz w:val="28"/>
          <w:szCs w:val="28"/>
        </w:rPr>
        <w:t>Inference</w:t>
      </w:r>
      <w:r w:rsidRPr="00E67F5F">
        <w:rPr>
          <w:rFonts w:ascii="Arial" w:hAnsi="Arial" w:cs="Arial"/>
          <w:sz w:val="28"/>
          <w:szCs w:val="28"/>
        </w:rPr>
        <w:t>:</w:t>
      </w:r>
    </w:p>
    <w:p w14:paraId="6971DF81" w14:textId="77777777" w:rsidR="000E47C4" w:rsidRPr="000E47C4" w:rsidRDefault="000E47C4" w:rsidP="000E47C4">
      <w:pPr>
        <w:numPr>
          <w:ilvl w:val="0"/>
          <w:numId w:val="12"/>
        </w:numPr>
        <w:rPr>
          <w:rFonts w:ascii="Arial" w:hAnsi="Arial" w:cs="Arial"/>
          <w:sz w:val="28"/>
          <w:szCs w:val="28"/>
        </w:rPr>
      </w:pPr>
      <w:r w:rsidRPr="000E47C4">
        <w:rPr>
          <w:rFonts w:ascii="Arial" w:hAnsi="Arial" w:cs="Arial"/>
          <w:b/>
          <w:bCs/>
          <w:sz w:val="28"/>
          <w:szCs w:val="28"/>
        </w:rPr>
        <w:t>Risk-Adjusted Return</w:t>
      </w:r>
      <w:r w:rsidRPr="000E47C4">
        <w:rPr>
          <w:rFonts w:ascii="Arial" w:hAnsi="Arial" w:cs="Arial"/>
          <w:sz w:val="28"/>
          <w:szCs w:val="28"/>
        </w:rPr>
        <w:t>: The Sharpe Ratio measures the risk-adjusted return of an investment. A higher Sharpe Ratio indicates better risk-adjusted performance.</w:t>
      </w:r>
    </w:p>
    <w:p w14:paraId="50984961" w14:textId="77777777" w:rsidR="000E47C4" w:rsidRPr="000E47C4" w:rsidRDefault="000E47C4" w:rsidP="000E47C4">
      <w:pPr>
        <w:numPr>
          <w:ilvl w:val="0"/>
          <w:numId w:val="12"/>
        </w:numPr>
        <w:rPr>
          <w:rFonts w:ascii="Arial" w:hAnsi="Arial" w:cs="Arial"/>
          <w:sz w:val="28"/>
          <w:szCs w:val="28"/>
        </w:rPr>
      </w:pPr>
      <w:r w:rsidRPr="000E47C4">
        <w:rPr>
          <w:rFonts w:ascii="Arial" w:hAnsi="Arial" w:cs="Arial"/>
          <w:b/>
          <w:bCs/>
          <w:sz w:val="28"/>
          <w:szCs w:val="28"/>
        </w:rPr>
        <w:t>Comparative Analysis</w:t>
      </w:r>
      <w:r w:rsidRPr="000E47C4">
        <w:rPr>
          <w:rFonts w:ascii="Arial" w:hAnsi="Arial" w:cs="Arial"/>
          <w:sz w:val="28"/>
          <w:szCs w:val="28"/>
        </w:rPr>
        <w:t>: By comparing Sharpe Ratios, investors can identify which banks offer the best returns relative to their risk.</w:t>
      </w:r>
    </w:p>
    <w:p w14:paraId="7D43EF31" w14:textId="77777777" w:rsidR="000E47C4" w:rsidRPr="000E47C4" w:rsidRDefault="000E47C4" w:rsidP="000E47C4">
      <w:pPr>
        <w:numPr>
          <w:ilvl w:val="0"/>
          <w:numId w:val="12"/>
        </w:numPr>
        <w:rPr>
          <w:rFonts w:ascii="Arial" w:hAnsi="Arial" w:cs="Arial"/>
          <w:sz w:val="28"/>
          <w:szCs w:val="28"/>
        </w:rPr>
      </w:pPr>
      <w:r w:rsidRPr="000E47C4">
        <w:rPr>
          <w:rFonts w:ascii="Arial" w:hAnsi="Arial" w:cs="Arial"/>
          <w:b/>
          <w:bCs/>
          <w:sz w:val="28"/>
          <w:szCs w:val="28"/>
        </w:rPr>
        <w:t>Investment Decisions</w:t>
      </w:r>
      <w:r w:rsidRPr="000E47C4">
        <w:rPr>
          <w:rFonts w:ascii="Arial" w:hAnsi="Arial" w:cs="Arial"/>
          <w:sz w:val="28"/>
          <w:szCs w:val="28"/>
        </w:rPr>
        <w:t>: Investors can use the Sharpe Ratio to make informed decisions about which stocks to include in their portfolios, balancing risk and return.</w:t>
      </w:r>
    </w:p>
    <w:p w14:paraId="318ED726" w14:textId="323C2CA7" w:rsidR="000E47C4" w:rsidRPr="00E67F5F" w:rsidRDefault="000E47C4">
      <w:pPr>
        <w:rPr>
          <w:rFonts w:ascii="Arial" w:hAnsi="Arial" w:cs="Arial"/>
          <w:sz w:val="28"/>
          <w:szCs w:val="28"/>
        </w:rPr>
      </w:pPr>
    </w:p>
    <w:p w14:paraId="7CB6D472" w14:textId="77777777" w:rsidR="00E67F5F" w:rsidRDefault="00E67F5F" w:rsidP="000E47C4">
      <w:pPr>
        <w:rPr>
          <w:rFonts w:ascii="Arial" w:hAnsi="Arial" w:cs="Arial"/>
          <w:b/>
          <w:bCs/>
          <w:sz w:val="28"/>
          <w:szCs w:val="28"/>
        </w:rPr>
      </w:pPr>
    </w:p>
    <w:p w14:paraId="000F5F41" w14:textId="77777777" w:rsidR="00E67F5F" w:rsidRDefault="00E67F5F" w:rsidP="000E47C4">
      <w:pPr>
        <w:rPr>
          <w:rFonts w:ascii="Arial" w:hAnsi="Arial" w:cs="Arial"/>
          <w:b/>
          <w:bCs/>
          <w:sz w:val="28"/>
          <w:szCs w:val="28"/>
        </w:rPr>
      </w:pPr>
    </w:p>
    <w:p w14:paraId="0B6E9C56" w14:textId="77777777" w:rsidR="00E67F5F" w:rsidRDefault="00E67F5F" w:rsidP="000E47C4">
      <w:pPr>
        <w:rPr>
          <w:rFonts w:ascii="Arial" w:hAnsi="Arial" w:cs="Arial"/>
          <w:b/>
          <w:bCs/>
          <w:sz w:val="28"/>
          <w:szCs w:val="28"/>
        </w:rPr>
      </w:pPr>
    </w:p>
    <w:p w14:paraId="47EFF0AD" w14:textId="77777777" w:rsidR="00E67F5F" w:rsidRDefault="00E67F5F" w:rsidP="000E47C4">
      <w:pPr>
        <w:rPr>
          <w:rFonts w:ascii="Arial" w:hAnsi="Arial" w:cs="Arial"/>
          <w:b/>
          <w:bCs/>
          <w:sz w:val="28"/>
          <w:szCs w:val="28"/>
        </w:rPr>
      </w:pPr>
    </w:p>
    <w:p w14:paraId="6C0BCEE3" w14:textId="77777777" w:rsidR="00E67F5F" w:rsidRDefault="00E67F5F" w:rsidP="000E47C4">
      <w:pPr>
        <w:rPr>
          <w:rFonts w:ascii="Arial" w:hAnsi="Arial" w:cs="Arial"/>
          <w:b/>
          <w:bCs/>
          <w:sz w:val="28"/>
          <w:szCs w:val="28"/>
        </w:rPr>
      </w:pPr>
    </w:p>
    <w:p w14:paraId="3316D07D" w14:textId="77777777" w:rsidR="00E67F5F" w:rsidRDefault="00E67F5F" w:rsidP="000E47C4">
      <w:pPr>
        <w:rPr>
          <w:rFonts w:ascii="Arial" w:hAnsi="Arial" w:cs="Arial"/>
          <w:b/>
          <w:bCs/>
          <w:sz w:val="28"/>
          <w:szCs w:val="28"/>
        </w:rPr>
      </w:pPr>
    </w:p>
    <w:p w14:paraId="3E3E0B05" w14:textId="77777777" w:rsidR="00E67F5F" w:rsidRDefault="00E67F5F" w:rsidP="000E47C4">
      <w:pPr>
        <w:rPr>
          <w:rFonts w:ascii="Arial" w:hAnsi="Arial" w:cs="Arial"/>
          <w:b/>
          <w:bCs/>
          <w:sz w:val="28"/>
          <w:szCs w:val="28"/>
        </w:rPr>
      </w:pPr>
    </w:p>
    <w:p w14:paraId="13764924" w14:textId="3DAA02E6" w:rsidR="00E67F5F" w:rsidRPr="00E67F5F" w:rsidRDefault="000E47C4" w:rsidP="000E47C4">
      <w:pPr>
        <w:rPr>
          <w:rFonts w:ascii="Arial" w:hAnsi="Arial" w:cs="Arial"/>
          <w:b/>
          <w:bCs/>
          <w:sz w:val="28"/>
          <w:szCs w:val="28"/>
        </w:rPr>
      </w:pPr>
      <w:r w:rsidRPr="000E47C4">
        <w:rPr>
          <w:rFonts w:ascii="Arial" w:hAnsi="Arial" w:cs="Arial"/>
          <w:b/>
          <w:bCs/>
          <w:sz w:val="28"/>
          <w:szCs w:val="28"/>
        </w:rPr>
        <w:lastRenderedPageBreak/>
        <w:t>Conclusion</w:t>
      </w:r>
      <w:r w:rsidRPr="00E67F5F">
        <w:rPr>
          <w:rFonts w:ascii="Arial" w:hAnsi="Arial" w:cs="Arial"/>
          <w:b/>
          <w:bCs/>
          <w:sz w:val="28"/>
          <w:szCs w:val="28"/>
        </w:rPr>
        <w:t>:</w:t>
      </w:r>
    </w:p>
    <w:p w14:paraId="61C41248" w14:textId="45CAE314" w:rsidR="000E47C4" w:rsidRPr="00E67F5F" w:rsidRDefault="000E47C4" w:rsidP="000E47C4">
      <w:pPr>
        <w:rPr>
          <w:rFonts w:ascii="Arial" w:hAnsi="Arial" w:cs="Arial"/>
          <w:b/>
          <w:bCs/>
          <w:sz w:val="28"/>
          <w:szCs w:val="28"/>
        </w:rPr>
      </w:pPr>
      <w:r w:rsidRPr="00E67F5F">
        <w:rPr>
          <w:rFonts w:ascii="Arial" w:hAnsi="Arial" w:cs="Arial"/>
          <w:sz w:val="28"/>
          <w:szCs w:val="28"/>
        </w:rPr>
        <w:t>Wealth management, treasury management, and risk management are vital, interconnected functions within financial institutions, each playing a crucial role in ensuring financial stability, optimizing performance, and managing risks. Wealth management focuses on helping clients achieve their financial goals through personalized strategies and insights from key metrics like adjusted close prices and market capitalization. Treasury management ensures a company's financial health by managing liquidity, optimizing cash flow, and mitigating financial risks, informed by trading volume and daily returns. Risk management protects banks by assessing and mitigating various risks, including credit, market, operational, and liquidity risks, using metrics such as annualized volatility and Value at Risk (</w:t>
      </w:r>
      <w:proofErr w:type="spellStart"/>
      <w:r w:rsidRPr="00E67F5F">
        <w:rPr>
          <w:rFonts w:ascii="Arial" w:hAnsi="Arial" w:cs="Arial"/>
          <w:sz w:val="28"/>
          <w:szCs w:val="28"/>
        </w:rPr>
        <w:t>VaR</w:t>
      </w:r>
      <w:proofErr w:type="spellEnd"/>
      <w:r w:rsidRPr="00E67F5F">
        <w:rPr>
          <w:rFonts w:ascii="Arial" w:hAnsi="Arial" w:cs="Arial"/>
          <w:sz w:val="28"/>
          <w:szCs w:val="28"/>
        </w:rPr>
        <w:t>). By integrating these disciplines, financial institutions can deliver comprehensive and resilient financial solutions, enhancing decision-making, optimizing performance, and building a robust foundation for future growth.</w:t>
      </w:r>
    </w:p>
    <w:p w14:paraId="1260A2B7" w14:textId="77777777" w:rsidR="000E47C4" w:rsidRPr="000E47C4" w:rsidRDefault="000E47C4" w:rsidP="000E47C4">
      <w:pPr>
        <w:rPr>
          <w:rFonts w:ascii="Arial" w:hAnsi="Arial" w:cs="Arial"/>
          <w:b/>
          <w:bCs/>
          <w:sz w:val="28"/>
          <w:szCs w:val="28"/>
        </w:rPr>
      </w:pPr>
    </w:p>
    <w:p w14:paraId="08A6360B" w14:textId="77777777" w:rsidR="000E47C4" w:rsidRDefault="000E47C4"/>
    <w:p w14:paraId="5D427399" w14:textId="77777777" w:rsidR="000E47C4" w:rsidRPr="00722852" w:rsidRDefault="000E47C4"/>
    <w:sectPr w:rsidR="000E47C4" w:rsidRPr="00722852" w:rsidSect="00E910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00007"/>
    <w:multiLevelType w:val="multilevel"/>
    <w:tmpl w:val="6D9A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F17A4"/>
    <w:multiLevelType w:val="multilevel"/>
    <w:tmpl w:val="540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A6B7B"/>
    <w:multiLevelType w:val="multilevel"/>
    <w:tmpl w:val="3C9C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D2676"/>
    <w:multiLevelType w:val="multilevel"/>
    <w:tmpl w:val="4B3C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483E3A"/>
    <w:multiLevelType w:val="multilevel"/>
    <w:tmpl w:val="D602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2D2B7B"/>
    <w:multiLevelType w:val="multilevel"/>
    <w:tmpl w:val="B56A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E560CF"/>
    <w:multiLevelType w:val="multilevel"/>
    <w:tmpl w:val="48B6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D1070A"/>
    <w:multiLevelType w:val="multilevel"/>
    <w:tmpl w:val="55C6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71113B"/>
    <w:multiLevelType w:val="multilevel"/>
    <w:tmpl w:val="84D2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DA6A28"/>
    <w:multiLevelType w:val="multilevel"/>
    <w:tmpl w:val="7AB0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541108"/>
    <w:multiLevelType w:val="multilevel"/>
    <w:tmpl w:val="20B4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A85E93"/>
    <w:multiLevelType w:val="multilevel"/>
    <w:tmpl w:val="DD5C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03481">
    <w:abstractNumId w:val="4"/>
  </w:num>
  <w:num w:numId="2" w16cid:durableId="761604346">
    <w:abstractNumId w:val="10"/>
  </w:num>
  <w:num w:numId="3" w16cid:durableId="1510096654">
    <w:abstractNumId w:val="5"/>
  </w:num>
  <w:num w:numId="4" w16cid:durableId="118499987">
    <w:abstractNumId w:val="11"/>
  </w:num>
  <w:num w:numId="5" w16cid:durableId="966669536">
    <w:abstractNumId w:val="1"/>
  </w:num>
  <w:num w:numId="6" w16cid:durableId="1568178150">
    <w:abstractNumId w:val="2"/>
  </w:num>
  <w:num w:numId="7" w16cid:durableId="1770390029">
    <w:abstractNumId w:val="6"/>
  </w:num>
  <w:num w:numId="8" w16cid:durableId="1988362488">
    <w:abstractNumId w:val="9"/>
  </w:num>
  <w:num w:numId="9" w16cid:durableId="2115129518">
    <w:abstractNumId w:val="3"/>
  </w:num>
  <w:num w:numId="10" w16cid:durableId="602764176">
    <w:abstractNumId w:val="7"/>
  </w:num>
  <w:num w:numId="11" w16cid:durableId="1005283863">
    <w:abstractNumId w:val="0"/>
  </w:num>
  <w:num w:numId="12" w16cid:durableId="2526694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DA"/>
    <w:rsid w:val="000B2309"/>
    <w:rsid w:val="000E47C4"/>
    <w:rsid w:val="00596CDA"/>
    <w:rsid w:val="00722852"/>
    <w:rsid w:val="008F1DAF"/>
    <w:rsid w:val="00B212C1"/>
    <w:rsid w:val="00BC16A4"/>
    <w:rsid w:val="00D16341"/>
    <w:rsid w:val="00E67F5F"/>
    <w:rsid w:val="00E750FB"/>
    <w:rsid w:val="00E80718"/>
    <w:rsid w:val="00E9103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BEDD"/>
  <w15:chartTrackingRefBased/>
  <w15:docId w15:val="{0528A4AB-9843-4268-ADD3-E0FC2443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750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750F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75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580604">
      <w:bodyDiv w:val="1"/>
      <w:marLeft w:val="0"/>
      <w:marRight w:val="0"/>
      <w:marTop w:val="0"/>
      <w:marBottom w:val="0"/>
      <w:divBdr>
        <w:top w:val="none" w:sz="0" w:space="0" w:color="auto"/>
        <w:left w:val="none" w:sz="0" w:space="0" w:color="auto"/>
        <w:bottom w:val="none" w:sz="0" w:space="0" w:color="auto"/>
        <w:right w:val="none" w:sz="0" w:space="0" w:color="auto"/>
      </w:divBdr>
    </w:div>
    <w:div w:id="654727539">
      <w:bodyDiv w:val="1"/>
      <w:marLeft w:val="0"/>
      <w:marRight w:val="0"/>
      <w:marTop w:val="0"/>
      <w:marBottom w:val="0"/>
      <w:divBdr>
        <w:top w:val="none" w:sz="0" w:space="0" w:color="auto"/>
        <w:left w:val="none" w:sz="0" w:space="0" w:color="auto"/>
        <w:bottom w:val="none" w:sz="0" w:space="0" w:color="auto"/>
        <w:right w:val="none" w:sz="0" w:space="0" w:color="auto"/>
      </w:divBdr>
    </w:div>
    <w:div w:id="770054224">
      <w:bodyDiv w:val="1"/>
      <w:marLeft w:val="0"/>
      <w:marRight w:val="0"/>
      <w:marTop w:val="0"/>
      <w:marBottom w:val="0"/>
      <w:divBdr>
        <w:top w:val="none" w:sz="0" w:space="0" w:color="auto"/>
        <w:left w:val="none" w:sz="0" w:space="0" w:color="auto"/>
        <w:bottom w:val="none" w:sz="0" w:space="0" w:color="auto"/>
        <w:right w:val="none" w:sz="0" w:space="0" w:color="auto"/>
      </w:divBdr>
    </w:div>
    <w:div w:id="914903221">
      <w:bodyDiv w:val="1"/>
      <w:marLeft w:val="0"/>
      <w:marRight w:val="0"/>
      <w:marTop w:val="0"/>
      <w:marBottom w:val="0"/>
      <w:divBdr>
        <w:top w:val="none" w:sz="0" w:space="0" w:color="auto"/>
        <w:left w:val="none" w:sz="0" w:space="0" w:color="auto"/>
        <w:bottom w:val="none" w:sz="0" w:space="0" w:color="auto"/>
        <w:right w:val="none" w:sz="0" w:space="0" w:color="auto"/>
      </w:divBdr>
    </w:div>
    <w:div w:id="977807516">
      <w:bodyDiv w:val="1"/>
      <w:marLeft w:val="0"/>
      <w:marRight w:val="0"/>
      <w:marTop w:val="0"/>
      <w:marBottom w:val="0"/>
      <w:divBdr>
        <w:top w:val="none" w:sz="0" w:space="0" w:color="auto"/>
        <w:left w:val="none" w:sz="0" w:space="0" w:color="auto"/>
        <w:bottom w:val="none" w:sz="0" w:space="0" w:color="auto"/>
        <w:right w:val="none" w:sz="0" w:space="0" w:color="auto"/>
      </w:divBdr>
    </w:div>
    <w:div w:id="1157961223">
      <w:bodyDiv w:val="1"/>
      <w:marLeft w:val="0"/>
      <w:marRight w:val="0"/>
      <w:marTop w:val="0"/>
      <w:marBottom w:val="0"/>
      <w:divBdr>
        <w:top w:val="none" w:sz="0" w:space="0" w:color="auto"/>
        <w:left w:val="none" w:sz="0" w:space="0" w:color="auto"/>
        <w:bottom w:val="none" w:sz="0" w:space="0" w:color="auto"/>
        <w:right w:val="none" w:sz="0" w:space="0" w:color="auto"/>
      </w:divBdr>
    </w:div>
    <w:div w:id="1236622409">
      <w:bodyDiv w:val="1"/>
      <w:marLeft w:val="0"/>
      <w:marRight w:val="0"/>
      <w:marTop w:val="0"/>
      <w:marBottom w:val="0"/>
      <w:divBdr>
        <w:top w:val="none" w:sz="0" w:space="0" w:color="auto"/>
        <w:left w:val="none" w:sz="0" w:space="0" w:color="auto"/>
        <w:bottom w:val="none" w:sz="0" w:space="0" w:color="auto"/>
        <w:right w:val="none" w:sz="0" w:space="0" w:color="auto"/>
      </w:divBdr>
    </w:div>
    <w:div w:id="1360080203">
      <w:bodyDiv w:val="1"/>
      <w:marLeft w:val="0"/>
      <w:marRight w:val="0"/>
      <w:marTop w:val="0"/>
      <w:marBottom w:val="0"/>
      <w:divBdr>
        <w:top w:val="none" w:sz="0" w:space="0" w:color="auto"/>
        <w:left w:val="none" w:sz="0" w:space="0" w:color="auto"/>
        <w:bottom w:val="none" w:sz="0" w:space="0" w:color="auto"/>
        <w:right w:val="none" w:sz="0" w:space="0" w:color="auto"/>
      </w:divBdr>
    </w:div>
    <w:div w:id="1548685026">
      <w:bodyDiv w:val="1"/>
      <w:marLeft w:val="0"/>
      <w:marRight w:val="0"/>
      <w:marTop w:val="0"/>
      <w:marBottom w:val="0"/>
      <w:divBdr>
        <w:top w:val="none" w:sz="0" w:space="0" w:color="auto"/>
        <w:left w:val="none" w:sz="0" w:space="0" w:color="auto"/>
        <w:bottom w:val="none" w:sz="0" w:space="0" w:color="auto"/>
        <w:right w:val="none" w:sz="0" w:space="0" w:color="auto"/>
      </w:divBdr>
    </w:div>
    <w:div w:id="1573391740">
      <w:bodyDiv w:val="1"/>
      <w:marLeft w:val="0"/>
      <w:marRight w:val="0"/>
      <w:marTop w:val="0"/>
      <w:marBottom w:val="0"/>
      <w:divBdr>
        <w:top w:val="none" w:sz="0" w:space="0" w:color="auto"/>
        <w:left w:val="none" w:sz="0" w:space="0" w:color="auto"/>
        <w:bottom w:val="none" w:sz="0" w:space="0" w:color="auto"/>
        <w:right w:val="none" w:sz="0" w:space="0" w:color="auto"/>
      </w:divBdr>
    </w:div>
    <w:div w:id="1610774498">
      <w:bodyDiv w:val="1"/>
      <w:marLeft w:val="0"/>
      <w:marRight w:val="0"/>
      <w:marTop w:val="0"/>
      <w:marBottom w:val="0"/>
      <w:divBdr>
        <w:top w:val="none" w:sz="0" w:space="0" w:color="auto"/>
        <w:left w:val="none" w:sz="0" w:space="0" w:color="auto"/>
        <w:bottom w:val="none" w:sz="0" w:space="0" w:color="auto"/>
        <w:right w:val="none" w:sz="0" w:space="0" w:color="auto"/>
      </w:divBdr>
    </w:div>
    <w:div w:id="1802839226">
      <w:bodyDiv w:val="1"/>
      <w:marLeft w:val="0"/>
      <w:marRight w:val="0"/>
      <w:marTop w:val="0"/>
      <w:marBottom w:val="0"/>
      <w:divBdr>
        <w:top w:val="none" w:sz="0" w:space="0" w:color="auto"/>
        <w:left w:val="none" w:sz="0" w:space="0" w:color="auto"/>
        <w:bottom w:val="none" w:sz="0" w:space="0" w:color="auto"/>
        <w:right w:val="none" w:sz="0" w:space="0" w:color="auto"/>
      </w:divBdr>
    </w:div>
    <w:div w:id="1835098292">
      <w:bodyDiv w:val="1"/>
      <w:marLeft w:val="0"/>
      <w:marRight w:val="0"/>
      <w:marTop w:val="0"/>
      <w:marBottom w:val="0"/>
      <w:divBdr>
        <w:top w:val="none" w:sz="0" w:space="0" w:color="auto"/>
        <w:left w:val="none" w:sz="0" w:space="0" w:color="auto"/>
        <w:bottom w:val="none" w:sz="0" w:space="0" w:color="auto"/>
        <w:right w:val="none" w:sz="0" w:space="0" w:color="auto"/>
      </w:divBdr>
    </w:div>
    <w:div w:id="1911039022">
      <w:bodyDiv w:val="1"/>
      <w:marLeft w:val="0"/>
      <w:marRight w:val="0"/>
      <w:marTop w:val="0"/>
      <w:marBottom w:val="0"/>
      <w:divBdr>
        <w:top w:val="none" w:sz="0" w:space="0" w:color="auto"/>
        <w:left w:val="none" w:sz="0" w:space="0" w:color="auto"/>
        <w:bottom w:val="none" w:sz="0" w:space="0" w:color="auto"/>
        <w:right w:val="none" w:sz="0" w:space="0" w:color="auto"/>
      </w:divBdr>
    </w:div>
    <w:div w:id="2037656413">
      <w:bodyDiv w:val="1"/>
      <w:marLeft w:val="0"/>
      <w:marRight w:val="0"/>
      <w:marTop w:val="0"/>
      <w:marBottom w:val="0"/>
      <w:divBdr>
        <w:top w:val="none" w:sz="0" w:space="0" w:color="auto"/>
        <w:left w:val="none" w:sz="0" w:space="0" w:color="auto"/>
        <w:bottom w:val="none" w:sz="0" w:space="0" w:color="auto"/>
        <w:right w:val="none" w:sz="0" w:space="0" w:color="auto"/>
      </w:divBdr>
    </w:div>
    <w:div w:id="2039692865">
      <w:bodyDiv w:val="1"/>
      <w:marLeft w:val="0"/>
      <w:marRight w:val="0"/>
      <w:marTop w:val="0"/>
      <w:marBottom w:val="0"/>
      <w:divBdr>
        <w:top w:val="none" w:sz="0" w:space="0" w:color="auto"/>
        <w:left w:val="none" w:sz="0" w:space="0" w:color="auto"/>
        <w:bottom w:val="none" w:sz="0" w:space="0" w:color="auto"/>
        <w:right w:val="none" w:sz="0" w:space="0" w:color="auto"/>
      </w:divBdr>
    </w:div>
    <w:div w:id="2087219701">
      <w:bodyDiv w:val="1"/>
      <w:marLeft w:val="0"/>
      <w:marRight w:val="0"/>
      <w:marTop w:val="0"/>
      <w:marBottom w:val="0"/>
      <w:divBdr>
        <w:top w:val="none" w:sz="0" w:space="0" w:color="auto"/>
        <w:left w:val="none" w:sz="0" w:space="0" w:color="auto"/>
        <w:bottom w:val="none" w:sz="0" w:space="0" w:color="auto"/>
        <w:right w:val="none" w:sz="0" w:space="0" w:color="auto"/>
      </w:divBdr>
    </w:div>
    <w:div w:id="2117287235">
      <w:bodyDiv w:val="1"/>
      <w:marLeft w:val="0"/>
      <w:marRight w:val="0"/>
      <w:marTop w:val="0"/>
      <w:marBottom w:val="0"/>
      <w:divBdr>
        <w:top w:val="none" w:sz="0" w:space="0" w:color="auto"/>
        <w:left w:val="none" w:sz="0" w:space="0" w:color="auto"/>
        <w:bottom w:val="none" w:sz="0" w:space="0" w:color="auto"/>
        <w:right w:val="none" w:sz="0" w:space="0" w:color="auto"/>
      </w:divBdr>
      <w:divsChild>
        <w:div w:id="27149697">
          <w:marLeft w:val="0"/>
          <w:marRight w:val="0"/>
          <w:marTop w:val="0"/>
          <w:marBottom w:val="0"/>
          <w:divBdr>
            <w:top w:val="single" w:sz="2" w:space="0" w:color="auto"/>
            <w:left w:val="single" w:sz="2" w:space="0" w:color="auto"/>
            <w:bottom w:val="single" w:sz="2" w:space="0" w:color="auto"/>
            <w:right w:val="single" w:sz="2" w:space="0" w:color="auto"/>
          </w:divBdr>
          <w:divsChild>
            <w:div w:id="93677312">
              <w:marLeft w:val="0"/>
              <w:marRight w:val="0"/>
              <w:marTop w:val="0"/>
              <w:marBottom w:val="0"/>
              <w:divBdr>
                <w:top w:val="single" w:sz="2" w:space="0" w:color="auto"/>
                <w:left w:val="single" w:sz="2" w:space="0" w:color="auto"/>
                <w:bottom w:val="single" w:sz="2" w:space="0" w:color="auto"/>
                <w:right w:val="single" w:sz="2" w:space="0" w:color="auto"/>
              </w:divBdr>
              <w:divsChild>
                <w:div w:id="303628725">
                  <w:marLeft w:val="0"/>
                  <w:marRight w:val="0"/>
                  <w:marTop w:val="0"/>
                  <w:marBottom w:val="0"/>
                  <w:divBdr>
                    <w:top w:val="single" w:sz="2" w:space="0" w:color="auto"/>
                    <w:left w:val="single" w:sz="2" w:space="0" w:color="auto"/>
                    <w:bottom w:val="single" w:sz="2" w:space="0" w:color="auto"/>
                    <w:right w:val="single" w:sz="2" w:space="0" w:color="auto"/>
                  </w:divBdr>
                  <w:divsChild>
                    <w:div w:id="729154137">
                      <w:marLeft w:val="0"/>
                      <w:marRight w:val="0"/>
                      <w:marTop w:val="0"/>
                      <w:marBottom w:val="0"/>
                      <w:divBdr>
                        <w:top w:val="single" w:sz="2" w:space="0" w:color="auto"/>
                        <w:left w:val="single" w:sz="2" w:space="0" w:color="auto"/>
                        <w:bottom w:val="single" w:sz="2" w:space="0" w:color="auto"/>
                        <w:right w:val="single" w:sz="2" w:space="0" w:color="auto"/>
                      </w:divBdr>
                      <w:divsChild>
                        <w:div w:id="1788347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4600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14</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cp:revision>
  <dcterms:created xsi:type="dcterms:W3CDTF">2024-06-18T15:32:00Z</dcterms:created>
  <dcterms:modified xsi:type="dcterms:W3CDTF">2024-06-18T21:12:00Z</dcterms:modified>
</cp:coreProperties>
</file>