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60BC" w14:textId="77777777" w:rsidR="007F6B46" w:rsidRDefault="007F6B46" w:rsidP="007F6B46">
      <w:pPr>
        <w:rPr>
          <w:rFonts w:ascii="Arial" w:hAnsi="Arial" w:cs="Arial"/>
          <w:b/>
          <w:bCs/>
          <w:sz w:val="40"/>
          <w:szCs w:val="40"/>
        </w:rPr>
      </w:pPr>
    </w:p>
    <w:p w14:paraId="112506F1" w14:textId="77777777" w:rsidR="007F6B46" w:rsidRDefault="007F6B46" w:rsidP="007F6B46">
      <w:pPr>
        <w:rPr>
          <w:rFonts w:ascii="Arial" w:hAnsi="Arial" w:cs="Arial"/>
          <w:b/>
          <w:bCs/>
          <w:sz w:val="40"/>
          <w:szCs w:val="40"/>
        </w:rPr>
      </w:pPr>
    </w:p>
    <w:p w14:paraId="01C25089" w14:textId="77777777" w:rsidR="007F6B46" w:rsidRDefault="007F6B46" w:rsidP="007F6B46">
      <w:pPr>
        <w:rPr>
          <w:rFonts w:ascii="Arial" w:hAnsi="Arial" w:cs="Arial"/>
          <w:b/>
          <w:bCs/>
          <w:sz w:val="40"/>
          <w:szCs w:val="40"/>
        </w:rPr>
      </w:pPr>
    </w:p>
    <w:p w14:paraId="6C4C18E5" w14:textId="77777777" w:rsidR="007F6B46" w:rsidRDefault="007F6B46" w:rsidP="007F6B46">
      <w:pPr>
        <w:rPr>
          <w:rFonts w:ascii="Arial" w:hAnsi="Arial" w:cs="Arial"/>
          <w:b/>
          <w:bCs/>
          <w:sz w:val="40"/>
          <w:szCs w:val="40"/>
        </w:rPr>
      </w:pPr>
    </w:p>
    <w:p w14:paraId="1B4861CA" w14:textId="77777777" w:rsidR="007F6B46" w:rsidRDefault="007F6B46" w:rsidP="007F6B46">
      <w:pPr>
        <w:rPr>
          <w:rFonts w:ascii="Arial" w:hAnsi="Arial" w:cs="Arial"/>
          <w:b/>
          <w:bCs/>
          <w:sz w:val="40"/>
          <w:szCs w:val="40"/>
        </w:rPr>
      </w:pPr>
    </w:p>
    <w:p w14:paraId="18FBFD34" w14:textId="77777777" w:rsidR="007F6B46" w:rsidRDefault="007F6B46" w:rsidP="007F6B46">
      <w:pPr>
        <w:rPr>
          <w:rFonts w:ascii="Arial" w:hAnsi="Arial" w:cs="Arial"/>
          <w:b/>
          <w:bCs/>
          <w:sz w:val="40"/>
          <w:szCs w:val="40"/>
        </w:rPr>
      </w:pPr>
    </w:p>
    <w:p w14:paraId="68842011" w14:textId="77777777" w:rsidR="007F6B46" w:rsidRDefault="007F6B46" w:rsidP="007F6B46">
      <w:pPr>
        <w:rPr>
          <w:rFonts w:ascii="Arial" w:hAnsi="Arial" w:cs="Arial"/>
          <w:b/>
          <w:bCs/>
          <w:sz w:val="40"/>
          <w:szCs w:val="40"/>
        </w:rPr>
      </w:pPr>
    </w:p>
    <w:p w14:paraId="36851DD7" w14:textId="77777777" w:rsidR="007F6B46" w:rsidRDefault="007F6B46" w:rsidP="007F6B46">
      <w:pPr>
        <w:rPr>
          <w:rFonts w:ascii="Arial" w:hAnsi="Arial" w:cs="Arial"/>
          <w:b/>
          <w:bCs/>
          <w:sz w:val="40"/>
          <w:szCs w:val="40"/>
        </w:rPr>
      </w:pPr>
    </w:p>
    <w:p w14:paraId="586C97DD" w14:textId="77777777" w:rsidR="001E6A48" w:rsidRDefault="001E6A48" w:rsidP="007F6B46">
      <w:pPr>
        <w:rPr>
          <w:rFonts w:ascii="Arial" w:hAnsi="Arial" w:cs="Arial"/>
          <w:b/>
          <w:bCs/>
          <w:sz w:val="40"/>
          <w:szCs w:val="40"/>
        </w:rPr>
      </w:pPr>
    </w:p>
    <w:p w14:paraId="5D51B9DD" w14:textId="0484097C" w:rsidR="007F6B46" w:rsidRPr="007F6B46" w:rsidRDefault="007F6B46" w:rsidP="007F6B46">
      <w:pPr>
        <w:rPr>
          <w:rFonts w:ascii="Arial" w:hAnsi="Arial" w:cs="Arial"/>
          <w:b/>
          <w:bCs/>
          <w:sz w:val="40"/>
          <w:szCs w:val="40"/>
        </w:rPr>
      </w:pPr>
      <w:r w:rsidRPr="007F6B46">
        <w:rPr>
          <w:rFonts w:ascii="Arial" w:hAnsi="Arial" w:cs="Arial"/>
          <w:b/>
          <w:bCs/>
          <w:sz w:val="40"/>
          <w:szCs w:val="40"/>
        </w:rPr>
        <w:t xml:space="preserve">1. Compliance </w:t>
      </w:r>
      <w:r>
        <w:rPr>
          <w:rFonts w:ascii="Arial" w:hAnsi="Arial" w:cs="Arial"/>
          <w:b/>
          <w:bCs/>
          <w:sz w:val="40"/>
          <w:szCs w:val="40"/>
        </w:rPr>
        <w:t>a</w:t>
      </w:r>
      <w:r w:rsidRPr="007F6B46">
        <w:rPr>
          <w:rFonts w:ascii="Arial" w:hAnsi="Arial" w:cs="Arial"/>
          <w:b/>
          <w:bCs/>
          <w:sz w:val="40"/>
          <w:szCs w:val="40"/>
        </w:rPr>
        <w:t xml:space="preserve">nd Regulatory Affairs </w:t>
      </w:r>
      <w:r>
        <w:rPr>
          <w:rFonts w:ascii="Arial" w:hAnsi="Arial" w:cs="Arial"/>
          <w:b/>
          <w:bCs/>
          <w:sz w:val="40"/>
          <w:szCs w:val="40"/>
        </w:rPr>
        <w:t>in</w:t>
      </w:r>
      <w:r w:rsidRPr="007F6B46">
        <w:rPr>
          <w:rFonts w:ascii="Arial" w:hAnsi="Arial" w:cs="Arial"/>
          <w:b/>
          <w:bCs/>
          <w:sz w:val="40"/>
          <w:szCs w:val="40"/>
        </w:rPr>
        <w:t xml:space="preserve"> Banking Operations</w:t>
      </w:r>
    </w:p>
    <w:p w14:paraId="5F0C3563" w14:textId="0EE176DC" w:rsidR="007F6B46" w:rsidRPr="00D55168" w:rsidRDefault="007F6B46" w:rsidP="007F6B46">
      <w:pPr>
        <w:rPr>
          <w:rFonts w:ascii="Arial" w:hAnsi="Arial" w:cs="Arial"/>
          <w:b/>
          <w:bCs/>
          <w:sz w:val="40"/>
          <w:szCs w:val="40"/>
        </w:rPr>
      </w:pPr>
      <w:r w:rsidRPr="007F6B46">
        <w:rPr>
          <w:rFonts w:ascii="Arial" w:hAnsi="Arial" w:cs="Arial"/>
          <w:b/>
          <w:bCs/>
          <w:sz w:val="40"/>
          <w:szCs w:val="40"/>
        </w:rPr>
        <w:t xml:space="preserve">2. </w:t>
      </w:r>
      <w:r w:rsidRPr="00D55168">
        <w:rPr>
          <w:rFonts w:ascii="Arial" w:hAnsi="Arial" w:cs="Arial"/>
          <w:b/>
          <w:bCs/>
          <w:sz w:val="40"/>
          <w:szCs w:val="40"/>
        </w:rPr>
        <w:t xml:space="preserve">Customer Relationship Management (CRM) </w:t>
      </w:r>
      <w:r>
        <w:rPr>
          <w:rFonts w:ascii="Arial" w:hAnsi="Arial" w:cs="Arial"/>
          <w:b/>
          <w:bCs/>
          <w:sz w:val="40"/>
          <w:szCs w:val="40"/>
        </w:rPr>
        <w:t>i</w:t>
      </w:r>
      <w:r w:rsidRPr="00D55168">
        <w:rPr>
          <w:rFonts w:ascii="Arial" w:hAnsi="Arial" w:cs="Arial"/>
          <w:b/>
          <w:bCs/>
          <w:sz w:val="40"/>
          <w:szCs w:val="40"/>
        </w:rPr>
        <w:t>n Banking</w:t>
      </w:r>
    </w:p>
    <w:p w14:paraId="2D1124CF" w14:textId="77777777" w:rsidR="007F6B46" w:rsidRPr="002C6915" w:rsidRDefault="007F6B46" w:rsidP="007F6B46">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2A80ED39" w14:textId="77777777" w:rsidR="007F6B46" w:rsidRPr="007F6B46" w:rsidRDefault="007F6B46" w:rsidP="007F6B46"/>
    <w:p w14:paraId="73F44103" w14:textId="77777777" w:rsidR="007F6B46" w:rsidRDefault="007F6B46" w:rsidP="00D55168">
      <w:pPr>
        <w:rPr>
          <w:rFonts w:ascii="Arial" w:hAnsi="Arial" w:cs="Arial"/>
          <w:b/>
          <w:bCs/>
          <w:sz w:val="28"/>
          <w:szCs w:val="28"/>
        </w:rPr>
      </w:pPr>
    </w:p>
    <w:p w14:paraId="4A4430D7" w14:textId="77777777" w:rsidR="007F6B46" w:rsidRDefault="007F6B46" w:rsidP="00D55168">
      <w:pPr>
        <w:rPr>
          <w:rFonts w:ascii="Arial" w:hAnsi="Arial" w:cs="Arial"/>
          <w:b/>
          <w:bCs/>
          <w:sz w:val="28"/>
          <w:szCs w:val="28"/>
        </w:rPr>
      </w:pPr>
    </w:p>
    <w:p w14:paraId="220A32D9" w14:textId="77777777" w:rsidR="007F6B46" w:rsidRDefault="007F6B46" w:rsidP="00D55168">
      <w:pPr>
        <w:rPr>
          <w:rFonts w:ascii="Arial" w:hAnsi="Arial" w:cs="Arial"/>
          <w:b/>
          <w:bCs/>
          <w:sz w:val="28"/>
          <w:szCs w:val="28"/>
        </w:rPr>
      </w:pPr>
    </w:p>
    <w:p w14:paraId="40EC34EC" w14:textId="77777777" w:rsidR="007F6B46" w:rsidRDefault="007F6B46" w:rsidP="00D55168">
      <w:pPr>
        <w:rPr>
          <w:rFonts w:ascii="Arial" w:hAnsi="Arial" w:cs="Arial"/>
          <w:b/>
          <w:bCs/>
          <w:sz w:val="28"/>
          <w:szCs w:val="28"/>
        </w:rPr>
      </w:pPr>
    </w:p>
    <w:p w14:paraId="4AA133F9" w14:textId="77777777" w:rsidR="007F6B46" w:rsidRDefault="007F6B46" w:rsidP="00D55168">
      <w:pPr>
        <w:rPr>
          <w:rFonts w:ascii="Arial" w:hAnsi="Arial" w:cs="Arial"/>
          <w:b/>
          <w:bCs/>
          <w:sz w:val="28"/>
          <w:szCs w:val="28"/>
        </w:rPr>
      </w:pPr>
    </w:p>
    <w:p w14:paraId="1607CAD2" w14:textId="77777777" w:rsidR="007F6B46" w:rsidRDefault="007F6B46" w:rsidP="00D55168">
      <w:pPr>
        <w:rPr>
          <w:rFonts w:ascii="Arial" w:hAnsi="Arial" w:cs="Arial"/>
          <w:b/>
          <w:bCs/>
          <w:sz w:val="28"/>
          <w:szCs w:val="28"/>
        </w:rPr>
      </w:pPr>
    </w:p>
    <w:p w14:paraId="4B4A64B4" w14:textId="77777777" w:rsidR="007F6B46" w:rsidRDefault="007F6B46" w:rsidP="00D55168">
      <w:pPr>
        <w:rPr>
          <w:rFonts w:ascii="Arial" w:hAnsi="Arial" w:cs="Arial"/>
          <w:b/>
          <w:bCs/>
          <w:sz w:val="28"/>
          <w:szCs w:val="28"/>
        </w:rPr>
      </w:pPr>
    </w:p>
    <w:p w14:paraId="6F709BF7" w14:textId="77777777" w:rsidR="007F6B46" w:rsidRDefault="007F6B46" w:rsidP="00D55168">
      <w:pPr>
        <w:rPr>
          <w:rFonts w:ascii="Arial" w:hAnsi="Arial" w:cs="Arial"/>
          <w:b/>
          <w:bCs/>
          <w:sz w:val="28"/>
          <w:szCs w:val="28"/>
        </w:rPr>
      </w:pPr>
    </w:p>
    <w:p w14:paraId="5CCF6772" w14:textId="77777777" w:rsidR="001E6A48" w:rsidRDefault="001E6A48" w:rsidP="00D55168">
      <w:pPr>
        <w:rPr>
          <w:rFonts w:ascii="Arial" w:hAnsi="Arial" w:cs="Arial"/>
          <w:b/>
          <w:bCs/>
          <w:sz w:val="28"/>
          <w:szCs w:val="28"/>
        </w:rPr>
      </w:pPr>
    </w:p>
    <w:p w14:paraId="3BD597B4" w14:textId="43E25478" w:rsidR="00D55168" w:rsidRPr="005014EA" w:rsidRDefault="00D55168" w:rsidP="00D55168">
      <w:pPr>
        <w:rPr>
          <w:rFonts w:ascii="Arial" w:hAnsi="Arial" w:cs="Arial"/>
          <w:b/>
          <w:bCs/>
          <w:sz w:val="28"/>
          <w:szCs w:val="28"/>
        </w:rPr>
      </w:pPr>
      <w:r w:rsidRPr="005014EA">
        <w:rPr>
          <w:rFonts w:ascii="Arial" w:hAnsi="Arial" w:cs="Arial"/>
          <w:b/>
          <w:bCs/>
          <w:sz w:val="28"/>
          <w:szCs w:val="28"/>
        </w:rPr>
        <w:lastRenderedPageBreak/>
        <w:t>1. Compliance and Regulatory Affairs in Banking Operations:</w:t>
      </w:r>
    </w:p>
    <w:p w14:paraId="0C29A2C5" w14:textId="1DC2FF44" w:rsidR="00D55168" w:rsidRPr="00D55168" w:rsidRDefault="00D55168" w:rsidP="00D55168">
      <w:pPr>
        <w:rPr>
          <w:rFonts w:ascii="Arial" w:hAnsi="Arial" w:cs="Arial"/>
          <w:b/>
          <w:bCs/>
          <w:sz w:val="28"/>
          <w:szCs w:val="28"/>
        </w:rPr>
      </w:pPr>
      <w:r w:rsidRPr="00D55168">
        <w:rPr>
          <w:rFonts w:ascii="Arial" w:hAnsi="Arial" w:cs="Arial"/>
          <w:b/>
          <w:bCs/>
          <w:sz w:val="28"/>
          <w:szCs w:val="28"/>
        </w:rPr>
        <w:t>Introduction:</w:t>
      </w:r>
      <w:r w:rsidRPr="00D55168">
        <w:rPr>
          <w:rFonts w:ascii="Arial" w:hAnsi="Arial" w:cs="Arial"/>
          <w:sz w:val="28"/>
          <w:szCs w:val="28"/>
        </w:rPr>
        <w:br/>
        <w:t>Compliance and regulatory affairs in banking operations refer to the adherence to laws, regulations, guidelines, and specifications relevant to the banking industry. Banks operate in a highly regulated environment to ensure financial stability, protect consumers, and maintain the integrity of the financial system. Regulatory bodies such as the Federal Reserve, the Office of the Comptroller of the Currency (OCC), and the Securities and Exchange Commission (SEC) in the United States, among others globally, oversee these regulations.</w:t>
      </w:r>
      <w:r w:rsidRPr="00D55168">
        <w:rPr>
          <w:rFonts w:ascii="Arial" w:hAnsi="Arial" w:cs="Arial"/>
          <w:sz w:val="28"/>
          <w:szCs w:val="28"/>
        </w:rPr>
        <w:br/>
      </w:r>
      <w:r w:rsidRPr="00D55168">
        <w:rPr>
          <w:rFonts w:ascii="Arial" w:hAnsi="Arial" w:cs="Arial"/>
          <w:b/>
          <w:bCs/>
          <w:sz w:val="28"/>
          <w:szCs w:val="28"/>
        </w:rPr>
        <w:t>Basic Terminologies:</w:t>
      </w:r>
    </w:p>
    <w:p w14:paraId="651F9EED" w14:textId="7A09EF5C"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Regulatory Compliance:</w:t>
      </w:r>
      <w:r w:rsidRPr="005014EA">
        <w:rPr>
          <w:rFonts w:ascii="Arial" w:hAnsi="Arial" w:cs="Arial"/>
          <w:sz w:val="28"/>
          <w:szCs w:val="28"/>
        </w:rPr>
        <w:t xml:space="preserve"> </w:t>
      </w:r>
      <w:r w:rsidRPr="00D55168">
        <w:rPr>
          <w:rFonts w:ascii="Arial" w:hAnsi="Arial" w:cs="Arial"/>
          <w:sz w:val="28"/>
          <w:szCs w:val="28"/>
        </w:rPr>
        <w:t>The process by which banks ensure that they follow all relevant laws, regulations, and guidelines set by regulatory bodies.</w:t>
      </w:r>
    </w:p>
    <w:p w14:paraId="4A349269" w14:textId="1E0BF1A4"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Basel III:</w:t>
      </w:r>
      <w:r w:rsidRPr="005014EA">
        <w:rPr>
          <w:rFonts w:ascii="Arial" w:hAnsi="Arial" w:cs="Arial"/>
          <w:sz w:val="28"/>
          <w:szCs w:val="28"/>
        </w:rPr>
        <w:t xml:space="preserve"> </w:t>
      </w:r>
      <w:r w:rsidRPr="00D55168">
        <w:rPr>
          <w:rFonts w:ascii="Arial" w:hAnsi="Arial" w:cs="Arial"/>
          <w:sz w:val="28"/>
          <w:szCs w:val="28"/>
        </w:rPr>
        <w:t>A global regulatory framework developed by the Basel Committee on Banking Supervision to strengthen regulation, supervision, and risk management within the banking sector.</w:t>
      </w:r>
    </w:p>
    <w:p w14:paraId="32B52460" w14:textId="170AC97B"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Anti-Money Laundering (AML):</w:t>
      </w:r>
      <w:r w:rsidRPr="005014EA">
        <w:rPr>
          <w:rFonts w:ascii="Arial" w:hAnsi="Arial" w:cs="Arial"/>
          <w:sz w:val="28"/>
          <w:szCs w:val="28"/>
        </w:rPr>
        <w:t xml:space="preserve"> </w:t>
      </w:r>
      <w:r w:rsidRPr="00D55168">
        <w:rPr>
          <w:rFonts w:ascii="Arial" w:hAnsi="Arial" w:cs="Arial"/>
          <w:sz w:val="28"/>
          <w:szCs w:val="28"/>
        </w:rPr>
        <w:t>Regulations and procedures aimed at preventing criminals from disguising illegally obtained funds as legitimate income.</w:t>
      </w:r>
    </w:p>
    <w:p w14:paraId="6740C876" w14:textId="64959227"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Know Your Customer (KYC):</w:t>
      </w:r>
      <w:r w:rsidRPr="005014EA">
        <w:rPr>
          <w:rFonts w:ascii="Arial" w:hAnsi="Arial" w:cs="Arial"/>
          <w:sz w:val="28"/>
          <w:szCs w:val="28"/>
        </w:rPr>
        <w:t xml:space="preserve"> </w:t>
      </w:r>
      <w:r w:rsidRPr="00D55168">
        <w:rPr>
          <w:rFonts w:ascii="Arial" w:hAnsi="Arial" w:cs="Arial"/>
          <w:sz w:val="28"/>
          <w:szCs w:val="28"/>
        </w:rPr>
        <w:t>A process by which banks verify the identity of their clients to prevent fraud, money laundering, and other illegal activities.</w:t>
      </w:r>
    </w:p>
    <w:p w14:paraId="1C759019" w14:textId="25700D7A"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Dodd-Frank Act:</w:t>
      </w:r>
      <w:r w:rsidRPr="005014EA">
        <w:rPr>
          <w:rFonts w:ascii="Arial" w:hAnsi="Arial" w:cs="Arial"/>
          <w:sz w:val="28"/>
          <w:szCs w:val="28"/>
        </w:rPr>
        <w:t xml:space="preserve"> </w:t>
      </w:r>
      <w:r w:rsidRPr="00D55168">
        <w:rPr>
          <w:rFonts w:ascii="Arial" w:hAnsi="Arial" w:cs="Arial"/>
          <w:sz w:val="28"/>
          <w:szCs w:val="28"/>
        </w:rPr>
        <w:t>A comprehensive set of financial regulations passed in the United States in 2010 in response to the 2008 financial crisis, aimed at reducing risks in the financial system.</w:t>
      </w:r>
    </w:p>
    <w:p w14:paraId="780F924E" w14:textId="3E71C609" w:rsidR="00D55168" w:rsidRPr="00D55168" w:rsidRDefault="00D55168" w:rsidP="00D55168">
      <w:pPr>
        <w:numPr>
          <w:ilvl w:val="0"/>
          <w:numId w:val="1"/>
        </w:numPr>
        <w:rPr>
          <w:rFonts w:ascii="Arial" w:hAnsi="Arial" w:cs="Arial"/>
          <w:sz w:val="28"/>
          <w:szCs w:val="28"/>
        </w:rPr>
      </w:pPr>
      <w:r w:rsidRPr="00D55168">
        <w:rPr>
          <w:rFonts w:ascii="Arial" w:hAnsi="Arial" w:cs="Arial"/>
          <w:b/>
          <w:bCs/>
          <w:sz w:val="28"/>
          <w:szCs w:val="28"/>
        </w:rPr>
        <w:t>Stress Testing:</w:t>
      </w:r>
      <w:r w:rsidRPr="005014EA">
        <w:rPr>
          <w:rFonts w:ascii="Arial" w:hAnsi="Arial" w:cs="Arial"/>
          <w:sz w:val="28"/>
          <w:szCs w:val="28"/>
        </w:rPr>
        <w:t xml:space="preserve"> </w:t>
      </w:r>
      <w:r w:rsidRPr="00D55168">
        <w:rPr>
          <w:rFonts w:ascii="Arial" w:hAnsi="Arial" w:cs="Arial"/>
          <w:sz w:val="28"/>
          <w:szCs w:val="28"/>
        </w:rPr>
        <w:t>A simulation technique used to evaluate how banks can handle economic crises and financial shocks.</w:t>
      </w:r>
    </w:p>
    <w:p w14:paraId="4A65FE1C" w14:textId="31532C9F" w:rsidR="00D55168" w:rsidRPr="00D55168" w:rsidRDefault="00D55168" w:rsidP="00017AD2">
      <w:pPr>
        <w:numPr>
          <w:ilvl w:val="0"/>
          <w:numId w:val="1"/>
        </w:numPr>
        <w:rPr>
          <w:rFonts w:ascii="Arial" w:hAnsi="Arial" w:cs="Arial"/>
          <w:sz w:val="28"/>
          <w:szCs w:val="28"/>
        </w:rPr>
      </w:pPr>
      <w:r w:rsidRPr="00D55168">
        <w:rPr>
          <w:rFonts w:ascii="Arial" w:hAnsi="Arial" w:cs="Arial"/>
          <w:b/>
          <w:bCs/>
          <w:sz w:val="28"/>
          <w:szCs w:val="28"/>
        </w:rPr>
        <w:t>Capital Adequacy Ratio (CAR):</w:t>
      </w:r>
      <w:r w:rsidR="00017AD2" w:rsidRPr="005014EA">
        <w:rPr>
          <w:rFonts w:ascii="Arial" w:hAnsi="Arial" w:cs="Arial"/>
          <w:sz w:val="28"/>
          <w:szCs w:val="28"/>
        </w:rPr>
        <w:t xml:space="preserve"> </w:t>
      </w:r>
      <w:r w:rsidRPr="00D55168">
        <w:rPr>
          <w:rFonts w:ascii="Arial" w:hAnsi="Arial" w:cs="Arial"/>
          <w:sz w:val="28"/>
          <w:szCs w:val="28"/>
        </w:rPr>
        <w:t>A measure of a bank's capital, expressed as a percentage of its risk-weighted assets, ensuring that the bank can absorb a reasonable amount of loss.</w:t>
      </w:r>
    </w:p>
    <w:p w14:paraId="3019F4D7" w14:textId="12756BCD" w:rsidR="00D55168" w:rsidRPr="00D55168" w:rsidRDefault="00D55168" w:rsidP="00017AD2">
      <w:pPr>
        <w:numPr>
          <w:ilvl w:val="0"/>
          <w:numId w:val="1"/>
        </w:numPr>
        <w:rPr>
          <w:rFonts w:ascii="Arial" w:hAnsi="Arial" w:cs="Arial"/>
          <w:sz w:val="28"/>
          <w:szCs w:val="28"/>
        </w:rPr>
      </w:pPr>
      <w:r w:rsidRPr="00D55168">
        <w:rPr>
          <w:rFonts w:ascii="Arial" w:hAnsi="Arial" w:cs="Arial"/>
          <w:b/>
          <w:bCs/>
          <w:sz w:val="28"/>
          <w:szCs w:val="28"/>
        </w:rPr>
        <w:t>Consumer Financial Protection Bureau (CFPB):</w:t>
      </w:r>
      <w:r w:rsidR="00017AD2" w:rsidRPr="005014EA">
        <w:rPr>
          <w:rFonts w:ascii="Arial" w:hAnsi="Arial" w:cs="Arial"/>
          <w:sz w:val="28"/>
          <w:szCs w:val="28"/>
        </w:rPr>
        <w:t xml:space="preserve"> </w:t>
      </w:r>
      <w:r w:rsidRPr="00D55168">
        <w:rPr>
          <w:rFonts w:ascii="Arial" w:hAnsi="Arial" w:cs="Arial"/>
          <w:sz w:val="28"/>
          <w:szCs w:val="28"/>
        </w:rPr>
        <w:t>A regulatory agency charged with overseeing financial products and services offered to consumers.</w:t>
      </w:r>
    </w:p>
    <w:p w14:paraId="24D17421" w14:textId="35CB4B9B" w:rsidR="00D55168" w:rsidRPr="00D55168" w:rsidRDefault="00D55168" w:rsidP="00017AD2">
      <w:pPr>
        <w:numPr>
          <w:ilvl w:val="0"/>
          <w:numId w:val="1"/>
        </w:numPr>
        <w:rPr>
          <w:rFonts w:ascii="Arial" w:hAnsi="Arial" w:cs="Arial"/>
          <w:sz w:val="28"/>
          <w:szCs w:val="28"/>
        </w:rPr>
      </w:pPr>
      <w:r w:rsidRPr="00D55168">
        <w:rPr>
          <w:rFonts w:ascii="Arial" w:hAnsi="Arial" w:cs="Arial"/>
          <w:b/>
          <w:bCs/>
          <w:sz w:val="28"/>
          <w:szCs w:val="28"/>
        </w:rPr>
        <w:lastRenderedPageBreak/>
        <w:t>Sarbanes-Oxley Act (SOX):</w:t>
      </w:r>
      <w:r w:rsidR="00017AD2" w:rsidRPr="005014EA">
        <w:rPr>
          <w:rFonts w:ascii="Arial" w:hAnsi="Arial" w:cs="Arial"/>
          <w:sz w:val="28"/>
          <w:szCs w:val="28"/>
        </w:rPr>
        <w:t xml:space="preserve"> </w:t>
      </w:r>
      <w:r w:rsidRPr="00D55168">
        <w:rPr>
          <w:rFonts w:ascii="Arial" w:hAnsi="Arial" w:cs="Arial"/>
          <w:sz w:val="28"/>
          <w:szCs w:val="28"/>
        </w:rPr>
        <w:t>A law passed to protect investors from fraudulent financial reporting by corporations.</w:t>
      </w:r>
    </w:p>
    <w:p w14:paraId="2B92AD0D" w14:textId="0A547E73" w:rsidR="00D55168" w:rsidRPr="00D55168" w:rsidRDefault="00D55168" w:rsidP="00017AD2">
      <w:pPr>
        <w:numPr>
          <w:ilvl w:val="0"/>
          <w:numId w:val="1"/>
        </w:numPr>
        <w:rPr>
          <w:rFonts w:ascii="Arial" w:hAnsi="Arial" w:cs="Arial"/>
          <w:sz w:val="28"/>
          <w:szCs w:val="28"/>
        </w:rPr>
      </w:pPr>
      <w:r w:rsidRPr="00D55168">
        <w:rPr>
          <w:rFonts w:ascii="Arial" w:hAnsi="Arial" w:cs="Arial"/>
          <w:b/>
          <w:bCs/>
          <w:sz w:val="28"/>
          <w:szCs w:val="28"/>
        </w:rPr>
        <w:t>Volcker Rule:</w:t>
      </w:r>
      <w:r w:rsidR="00017AD2" w:rsidRPr="005014EA">
        <w:rPr>
          <w:rFonts w:ascii="Arial" w:hAnsi="Arial" w:cs="Arial"/>
          <w:sz w:val="28"/>
          <w:szCs w:val="28"/>
        </w:rPr>
        <w:t xml:space="preserve"> </w:t>
      </w:r>
      <w:r w:rsidRPr="00D55168">
        <w:rPr>
          <w:rFonts w:ascii="Arial" w:hAnsi="Arial" w:cs="Arial"/>
          <w:sz w:val="28"/>
          <w:szCs w:val="28"/>
        </w:rPr>
        <w:t>A part of the Dodd-Frank Act that restricts banks from making certain kinds of speculative investments that do not benefit their customers.</w:t>
      </w:r>
    </w:p>
    <w:p w14:paraId="5C480C8C" w14:textId="77777777" w:rsidR="005014EA" w:rsidRDefault="005014EA" w:rsidP="00D55168">
      <w:pPr>
        <w:rPr>
          <w:rFonts w:ascii="Arial" w:hAnsi="Arial" w:cs="Arial"/>
          <w:b/>
          <w:bCs/>
          <w:sz w:val="28"/>
          <w:szCs w:val="28"/>
        </w:rPr>
      </w:pPr>
    </w:p>
    <w:p w14:paraId="35059D2C" w14:textId="4F787C5E" w:rsidR="00D55168" w:rsidRPr="00D55168" w:rsidRDefault="00017AD2" w:rsidP="00D55168">
      <w:pPr>
        <w:rPr>
          <w:rFonts w:ascii="Arial" w:hAnsi="Arial" w:cs="Arial"/>
          <w:b/>
          <w:bCs/>
          <w:sz w:val="28"/>
          <w:szCs w:val="28"/>
        </w:rPr>
      </w:pPr>
      <w:r w:rsidRPr="005014EA">
        <w:rPr>
          <w:rFonts w:ascii="Arial" w:hAnsi="Arial" w:cs="Arial"/>
          <w:b/>
          <w:bCs/>
          <w:sz w:val="28"/>
          <w:szCs w:val="28"/>
        </w:rPr>
        <w:t xml:space="preserve">2. </w:t>
      </w:r>
      <w:r w:rsidR="00D55168" w:rsidRPr="00D55168">
        <w:rPr>
          <w:rFonts w:ascii="Arial" w:hAnsi="Arial" w:cs="Arial"/>
          <w:b/>
          <w:bCs/>
          <w:sz w:val="28"/>
          <w:szCs w:val="28"/>
        </w:rPr>
        <w:t>Customer Relationship Management (CRM) in Banking</w:t>
      </w:r>
      <w:r w:rsidRPr="005014EA">
        <w:rPr>
          <w:rFonts w:ascii="Arial" w:hAnsi="Arial" w:cs="Arial"/>
          <w:b/>
          <w:bCs/>
          <w:sz w:val="28"/>
          <w:szCs w:val="28"/>
        </w:rPr>
        <w:t>:</w:t>
      </w:r>
    </w:p>
    <w:p w14:paraId="336B6578" w14:textId="3B4FDF63" w:rsidR="00D55168" w:rsidRPr="00D55168" w:rsidRDefault="00D55168" w:rsidP="00D55168">
      <w:pPr>
        <w:rPr>
          <w:rFonts w:ascii="Arial" w:hAnsi="Arial" w:cs="Arial"/>
          <w:sz w:val="28"/>
          <w:szCs w:val="28"/>
        </w:rPr>
      </w:pPr>
      <w:r w:rsidRPr="00D55168">
        <w:rPr>
          <w:rFonts w:ascii="Arial" w:hAnsi="Arial" w:cs="Arial"/>
          <w:b/>
          <w:bCs/>
          <w:sz w:val="28"/>
          <w:szCs w:val="28"/>
        </w:rPr>
        <w:t>Introduction:</w:t>
      </w:r>
      <w:r w:rsidRPr="00D55168">
        <w:rPr>
          <w:rFonts w:ascii="Arial" w:hAnsi="Arial" w:cs="Arial"/>
          <w:sz w:val="28"/>
          <w:szCs w:val="28"/>
        </w:rPr>
        <w:br/>
        <w:t xml:space="preserve">Customer Relationship Management (CRM) in banking involves strategies, practices, and technologies that banks use to manage and </w:t>
      </w:r>
      <w:r w:rsidR="00017AD2" w:rsidRPr="005014EA">
        <w:rPr>
          <w:rFonts w:ascii="Arial" w:hAnsi="Arial" w:cs="Arial"/>
          <w:sz w:val="28"/>
          <w:szCs w:val="28"/>
        </w:rPr>
        <w:t>analyse</w:t>
      </w:r>
      <w:r w:rsidRPr="00D55168">
        <w:rPr>
          <w:rFonts w:ascii="Arial" w:hAnsi="Arial" w:cs="Arial"/>
          <w:sz w:val="28"/>
          <w:szCs w:val="28"/>
        </w:rPr>
        <w:t xml:space="preserve"> customer interactions and data throughout the customer lifecycle. The goal is to improve customer service, retain customers, and drive sales growth. CRM systems help banks understand their customers' needs, preferences, and </w:t>
      </w:r>
      <w:r w:rsidR="00017AD2" w:rsidRPr="005014EA">
        <w:rPr>
          <w:rFonts w:ascii="Arial" w:hAnsi="Arial" w:cs="Arial"/>
          <w:sz w:val="28"/>
          <w:szCs w:val="28"/>
        </w:rPr>
        <w:t>behaviours</w:t>
      </w:r>
      <w:r w:rsidRPr="00D55168">
        <w:rPr>
          <w:rFonts w:ascii="Arial" w:hAnsi="Arial" w:cs="Arial"/>
          <w:sz w:val="28"/>
          <w:szCs w:val="28"/>
        </w:rPr>
        <w:t>, enabling personalized service and targeted marketing.</w:t>
      </w:r>
      <w:r w:rsidRPr="00D55168">
        <w:rPr>
          <w:rFonts w:ascii="Arial" w:hAnsi="Arial" w:cs="Arial"/>
          <w:sz w:val="28"/>
          <w:szCs w:val="28"/>
        </w:rPr>
        <w:br/>
      </w:r>
      <w:r w:rsidRPr="00D55168">
        <w:rPr>
          <w:rFonts w:ascii="Arial" w:hAnsi="Arial" w:cs="Arial"/>
          <w:b/>
          <w:bCs/>
          <w:sz w:val="28"/>
          <w:szCs w:val="28"/>
        </w:rPr>
        <w:t>Basic Terminologies:</w:t>
      </w:r>
    </w:p>
    <w:p w14:paraId="0CEEE0B5" w14:textId="6F39D7F2"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Customer Segmentation:</w:t>
      </w:r>
      <w:r w:rsidR="00017AD2" w:rsidRPr="005014EA">
        <w:rPr>
          <w:rFonts w:ascii="Arial" w:hAnsi="Arial" w:cs="Arial"/>
          <w:sz w:val="28"/>
          <w:szCs w:val="28"/>
        </w:rPr>
        <w:t xml:space="preserve"> </w:t>
      </w:r>
      <w:r w:rsidRPr="00D55168">
        <w:rPr>
          <w:rFonts w:ascii="Arial" w:hAnsi="Arial" w:cs="Arial"/>
          <w:sz w:val="28"/>
          <w:szCs w:val="28"/>
        </w:rPr>
        <w:t>The process of dividing a customer base into groups of individuals that are similar in specific ways, such as age, gender, interests, or spending habits.</w:t>
      </w:r>
    </w:p>
    <w:p w14:paraId="044EB5CD" w14:textId="7FBB8741"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Customer Lifetime Value (CLV):</w:t>
      </w:r>
      <w:r w:rsidR="00017AD2" w:rsidRPr="005014EA">
        <w:rPr>
          <w:rFonts w:ascii="Arial" w:hAnsi="Arial" w:cs="Arial"/>
          <w:sz w:val="28"/>
          <w:szCs w:val="28"/>
        </w:rPr>
        <w:t xml:space="preserve"> </w:t>
      </w:r>
      <w:r w:rsidRPr="00D55168">
        <w:rPr>
          <w:rFonts w:ascii="Arial" w:hAnsi="Arial" w:cs="Arial"/>
          <w:sz w:val="28"/>
          <w:szCs w:val="28"/>
        </w:rPr>
        <w:t>A prediction of the net profit attributed to the entire future relationship with a customer.</w:t>
      </w:r>
    </w:p>
    <w:p w14:paraId="72A28AD4" w14:textId="0887916D"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Cross-Selling:</w:t>
      </w:r>
      <w:r w:rsidR="00017AD2" w:rsidRPr="005014EA">
        <w:rPr>
          <w:rFonts w:ascii="Arial" w:hAnsi="Arial" w:cs="Arial"/>
          <w:sz w:val="28"/>
          <w:szCs w:val="28"/>
        </w:rPr>
        <w:t xml:space="preserve"> </w:t>
      </w:r>
      <w:r w:rsidRPr="00D55168">
        <w:rPr>
          <w:rFonts w:ascii="Arial" w:hAnsi="Arial" w:cs="Arial"/>
          <w:sz w:val="28"/>
          <w:szCs w:val="28"/>
        </w:rPr>
        <w:t>The practice of selling additional products or services to an existing customer.</w:t>
      </w:r>
    </w:p>
    <w:p w14:paraId="153436D2" w14:textId="5458B8BD"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Up-Selling:</w:t>
      </w:r>
      <w:r w:rsidR="00017AD2" w:rsidRPr="005014EA">
        <w:rPr>
          <w:rFonts w:ascii="Arial" w:hAnsi="Arial" w:cs="Arial"/>
          <w:sz w:val="28"/>
          <w:szCs w:val="28"/>
        </w:rPr>
        <w:t xml:space="preserve"> </w:t>
      </w:r>
      <w:r w:rsidRPr="00D55168">
        <w:rPr>
          <w:rFonts w:ascii="Arial" w:hAnsi="Arial" w:cs="Arial"/>
          <w:sz w:val="28"/>
          <w:szCs w:val="28"/>
        </w:rPr>
        <w:t>The practice of encouraging customers to purchase a higher-end product than the one they initially considered.</w:t>
      </w:r>
    </w:p>
    <w:p w14:paraId="05B34786" w14:textId="5CFE15C1"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Customer Retention:</w:t>
      </w:r>
      <w:r w:rsidR="00017AD2" w:rsidRPr="005014EA">
        <w:rPr>
          <w:rFonts w:ascii="Arial" w:hAnsi="Arial" w:cs="Arial"/>
          <w:sz w:val="28"/>
          <w:szCs w:val="28"/>
        </w:rPr>
        <w:t xml:space="preserve"> </w:t>
      </w:r>
      <w:r w:rsidRPr="00D55168">
        <w:rPr>
          <w:rFonts w:ascii="Arial" w:hAnsi="Arial" w:cs="Arial"/>
          <w:sz w:val="28"/>
          <w:szCs w:val="28"/>
        </w:rPr>
        <w:t>The ability of a bank to retain its customers over a period of time.</w:t>
      </w:r>
    </w:p>
    <w:p w14:paraId="223812F0" w14:textId="445C4926"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Personalization:</w:t>
      </w:r>
      <w:r w:rsidR="00017AD2" w:rsidRPr="005014EA">
        <w:rPr>
          <w:rFonts w:ascii="Arial" w:hAnsi="Arial" w:cs="Arial"/>
          <w:sz w:val="28"/>
          <w:szCs w:val="28"/>
        </w:rPr>
        <w:t xml:space="preserve"> </w:t>
      </w:r>
      <w:r w:rsidRPr="00D55168">
        <w:rPr>
          <w:rFonts w:ascii="Arial" w:hAnsi="Arial" w:cs="Arial"/>
          <w:sz w:val="28"/>
          <w:szCs w:val="28"/>
        </w:rPr>
        <w:t>Tailoring products, services, and communications to meet the individual needs and preferences of customers.</w:t>
      </w:r>
    </w:p>
    <w:p w14:paraId="68ECB212" w14:textId="6EDCEEA0"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Customer Feedback:</w:t>
      </w:r>
      <w:r w:rsidR="00017AD2" w:rsidRPr="005014EA">
        <w:rPr>
          <w:rFonts w:ascii="Arial" w:hAnsi="Arial" w:cs="Arial"/>
          <w:sz w:val="28"/>
          <w:szCs w:val="28"/>
        </w:rPr>
        <w:t xml:space="preserve"> </w:t>
      </w:r>
      <w:r w:rsidRPr="00D55168">
        <w:rPr>
          <w:rFonts w:ascii="Arial" w:hAnsi="Arial" w:cs="Arial"/>
          <w:sz w:val="28"/>
          <w:szCs w:val="28"/>
        </w:rPr>
        <w:t>Information provided by customers about their experience with a bank's products or services, used to improve service quality.</w:t>
      </w:r>
    </w:p>
    <w:p w14:paraId="314330F3" w14:textId="54294406"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lastRenderedPageBreak/>
        <w:t>Customer Satisfaction Score (CSAT):</w:t>
      </w:r>
      <w:r w:rsidR="00017AD2" w:rsidRPr="005014EA">
        <w:rPr>
          <w:rFonts w:ascii="Arial" w:hAnsi="Arial" w:cs="Arial"/>
          <w:sz w:val="28"/>
          <w:szCs w:val="28"/>
        </w:rPr>
        <w:t xml:space="preserve"> </w:t>
      </w:r>
      <w:r w:rsidRPr="00D55168">
        <w:rPr>
          <w:rFonts w:ascii="Arial" w:hAnsi="Arial" w:cs="Arial"/>
          <w:sz w:val="28"/>
          <w:szCs w:val="28"/>
        </w:rPr>
        <w:t>A metric that measures how satisfied customers are with a bank's products or services.</w:t>
      </w:r>
    </w:p>
    <w:p w14:paraId="6311E226" w14:textId="1DAB5A8D"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Net Promoter Score (NPS):</w:t>
      </w:r>
      <w:r w:rsidR="00017AD2" w:rsidRPr="005014EA">
        <w:rPr>
          <w:rFonts w:ascii="Arial" w:hAnsi="Arial" w:cs="Arial"/>
          <w:sz w:val="28"/>
          <w:szCs w:val="28"/>
        </w:rPr>
        <w:t xml:space="preserve"> </w:t>
      </w:r>
      <w:r w:rsidRPr="00D55168">
        <w:rPr>
          <w:rFonts w:ascii="Arial" w:hAnsi="Arial" w:cs="Arial"/>
          <w:sz w:val="28"/>
          <w:szCs w:val="28"/>
        </w:rPr>
        <w:t>A metric that measures customer loyalty and the likelihood of customers recommending the bank to others.</w:t>
      </w:r>
    </w:p>
    <w:p w14:paraId="4DF52AC4" w14:textId="5C38E180"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Customer Journey Mapping:</w:t>
      </w:r>
      <w:r w:rsidR="00017AD2" w:rsidRPr="005014EA">
        <w:rPr>
          <w:rFonts w:ascii="Arial" w:hAnsi="Arial" w:cs="Arial"/>
          <w:sz w:val="28"/>
          <w:szCs w:val="28"/>
        </w:rPr>
        <w:t xml:space="preserve"> </w:t>
      </w:r>
      <w:r w:rsidRPr="00D55168">
        <w:rPr>
          <w:rFonts w:ascii="Arial" w:hAnsi="Arial" w:cs="Arial"/>
          <w:sz w:val="28"/>
          <w:szCs w:val="28"/>
        </w:rPr>
        <w:t>A visual representation of the process a customer goes through to achieve a goal with the bank, from initial contact to final transaction and beyond.</w:t>
      </w:r>
    </w:p>
    <w:p w14:paraId="4A4C9BCE" w14:textId="50E7D689" w:rsidR="00D55168" w:rsidRPr="00D55168" w:rsidRDefault="00D55168" w:rsidP="00017AD2">
      <w:pPr>
        <w:numPr>
          <w:ilvl w:val="0"/>
          <w:numId w:val="2"/>
        </w:numPr>
        <w:rPr>
          <w:rFonts w:ascii="Arial" w:hAnsi="Arial" w:cs="Arial"/>
          <w:sz w:val="28"/>
          <w:szCs w:val="28"/>
        </w:rPr>
      </w:pPr>
      <w:r w:rsidRPr="00D55168">
        <w:rPr>
          <w:rFonts w:ascii="Arial" w:hAnsi="Arial" w:cs="Arial"/>
          <w:b/>
          <w:bCs/>
          <w:sz w:val="28"/>
          <w:szCs w:val="28"/>
        </w:rPr>
        <w:t>Omnichannel Banking:</w:t>
      </w:r>
      <w:r w:rsidR="00017AD2" w:rsidRPr="005014EA">
        <w:rPr>
          <w:rFonts w:ascii="Arial" w:hAnsi="Arial" w:cs="Arial"/>
          <w:sz w:val="28"/>
          <w:szCs w:val="28"/>
        </w:rPr>
        <w:t xml:space="preserve"> </w:t>
      </w:r>
      <w:r w:rsidRPr="00D55168">
        <w:rPr>
          <w:rFonts w:ascii="Arial" w:hAnsi="Arial" w:cs="Arial"/>
          <w:sz w:val="28"/>
          <w:szCs w:val="28"/>
        </w:rPr>
        <w:t>Providing a seamless customer experience across multiple channels, such as online, mobile, and in-branch services.</w:t>
      </w:r>
    </w:p>
    <w:p w14:paraId="0F09E3DF" w14:textId="394EB7F1" w:rsidR="00017AD2" w:rsidRPr="005014EA" w:rsidRDefault="00D55168" w:rsidP="00017AD2">
      <w:pPr>
        <w:numPr>
          <w:ilvl w:val="0"/>
          <w:numId w:val="2"/>
        </w:numPr>
        <w:rPr>
          <w:rFonts w:ascii="Arial" w:hAnsi="Arial" w:cs="Arial"/>
          <w:sz w:val="28"/>
          <w:szCs w:val="28"/>
        </w:rPr>
      </w:pPr>
      <w:r w:rsidRPr="00D55168">
        <w:rPr>
          <w:rFonts w:ascii="Arial" w:hAnsi="Arial" w:cs="Arial"/>
          <w:b/>
          <w:bCs/>
          <w:sz w:val="28"/>
          <w:szCs w:val="28"/>
        </w:rPr>
        <w:t>Customer Data Integration (CDI):</w:t>
      </w:r>
      <w:r w:rsidR="00017AD2" w:rsidRPr="005014EA">
        <w:rPr>
          <w:rFonts w:ascii="Arial" w:hAnsi="Arial" w:cs="Arial"/>
          <w:sz w:val="28"/>
          <w:szCs w:val="28"/>
        </w:rPr>
        <w:t xml:space="preserve"> </w:t>
      </w:r>
      <w:r w:rsidRPr="00D55168">
        <w:rPr>
          <w:rFonts w:ascii="Arial" w:hAnsi="Arial" w:cs="Arial"/>
          <w:sz w:val="28"/>
          <w:szCs w:val="28"/>
        </w:rPr>
        <w:t>The process of combining data from different sources to provide a unified view of the customer.</w:t>
      </w:r>
    </w:p>
    <w:p w14:paraId="66A5D91B" w14:textId="30D0FA93" w:rsidR="00017AD2" w:rsidRPr="005014EA" w:rsidRDefault="00017AD2" w:rsidP="00017AD2">
      <w:pPr>
        <w:rPr>
          <w:rFonts w:ascii="Arial" w:hAnsi="Arial" w:cs="Arial"/>
          <w:b/>
          <w:bCs/>
          <w:sz w:val="28"/>
          <w:szCs w:val="28"/>
        </w:rPr>
      </w:pPr>
      <w:r w:rsidRPr="005014EA">
        <w:rPr>
          <w:rFonts w:ascii="Arial" w:hAnsi="Arial" w:cs="Arial"/>
          <w:b/>
          <w:bCs/>
          <w:sz w:val="28"/>
          <w:szCs w:val="28"/>
        </w:rPr>
        <w:t xml:space="preserve">Data: </w:t>
      </w:r>
    </w:p>
    <w:p w14:paraId="2AC05EC7" w14:textId="4251E499" w:rsidR="00017AD2" w:rsidRPr="005014EA" w:rsidRDefault="00017AD2" w:rsidP="00017AD2">
      <w:pPr>
        <w:rPr>
          <w:rFonts w:ascii="Arial" w:hAnsi="Arial" w:cs="Arial"/>
          <w:b/>
          <w:bCs/>
          <w:sz w:val="28"/>
          <w:szCs w:val="28"/>
        </w:rPr>
      </w:pPr>
      <w:r w:rsidRPr="005014EA">
        <w:rPr>
          <w:rFonts w:ascii="Arial" w:hAnsi="Arial" w:cs="Arial"/>
          <w:b/>
          <w:bCs/>
          <w:sz w:val="28"/>
          <w:szCs w:val="28"/>
        </w:rPr>
        <w:t>1. Compliance and Regulatory Affairs in Banking Operations:</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1644"/>
        <w:gridCol w:w="1872"/>
        <w:gridCol w:w="1871"/>
        <w:gridCol w:w="1752"/>
      </w:tblGrid>
      <w:tr w:rsidR="00017AD2" w:rsidRPr="00017AD2" w14:paraId="28115A1F" w14:textId="77777777" w:rsidTr="00017AD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986874B"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Bank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90150D7"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Capital Adequacy Ratio (CAR) (%)</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287270B"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AML Compliance Costs ($ Million)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5F189CB"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KYC Compliance Costs ($ Million)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E3FFE7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Regulatory Fines ($ Million, 2023)</w:t>
            </w:r>
          </w:p>
        </w:tc>
      </w:tr>
      <w:tr w:rsidR="00017AD2" w:rsidRPr="00017AD2" w14:paraId="4A190462"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BB10BB"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JPMorgan Chase (JPM)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F7DBBFC"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15.2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A19B85"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500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D82996"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C04B6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200</w:t>
            </w:r>
          </w:p>
        </w:tc>
      </w:tr>
      <w:tr w:rsidR="00017AD2" w:rsidRPr="00017AD2" w14:paraId="230E29C1"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CA0156"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Bank of America (BAC)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CA22300"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14.8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32579E9"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C2C15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280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D806E2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150</w:t>
            </w:r>
          </w:p>
        </w:tc>
      </w:tr>
      <w:tr w:rsidR="00017AD2" w:rsidRPr="00017AD2" w14:paraId="42384C2E"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164A04F"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Wells Fargo (WFC)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66F6A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13.5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5122DF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57AB59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250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F94958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300</w:t>
            </w:r>
          </w:p>
        </w:tc>
      </w:tr>
      <w:tr w:rsidR="00017AD2" w:rsidRPr="00017AD2" w14:paraId="23C9C991"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4CF6425"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lastRenderedPageBreak/>
              <w:t>Citigroup (C)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419458"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16.0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E4B096"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480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57424F"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270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B97A60C"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180</w:t>
            </w:r>
          </w:p>
        </w:tc>
      </w:tr>
      <w:tr w:rsidR="00017AD2" w:rsidRPr="00017AD2" w14:paraId="32553957"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4683C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Goldman Sachs (GS)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3A942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17.5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519539"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520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D68060"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07C674"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220</w:t>
            </w:r>
          </w:p>
        </w:tc>
      </w:tr>
      <w:tr w:rsidR="00017AD2" w:rsidRPr="00017AD2" w14:paraId="2B44F16C"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859959"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Morgan Stanley (MS)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2589D89"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16.8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CA05F1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510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F6C084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290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85BA3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190</w:t>
            </w:r>
          </w:p>
        </w:tc>
      </w:tr>
    </w:tbl>
    <w:p w14:paraId="507E4A98" w14:textId="77777777" w:rsidR="005014EA" w:rsidRDefault="005014EA" w:rsidP="00017AD2">
      <w:pPr>
        <w:rPr>
          <w:rFonts w:ascii="Arial" w:hAnsi="Arial" w:cs="Arial"/>
          <w:b/>
          <w:bCs/>
          <w:sz w:val="28"/>
          <w:szCs w:val="28"/>
        </w:rPr>
      </w:pPr>
    </w:p>
    <w:p w14:paraId="6D1E823B" w14:textId="41CC2A44" w:rsidR="00017AD2" w:rsidRPr="005014EA" w:rsidRDefault="00017AD2" w:rsidP="00017AD2">
      <w:pPr>
        <w:rPr>
          <w:rFonts w:ascii="Arial" w:hAnsi="Arial" w:cs="Arial"/>
          <w:b/>
          <w:bCs/>
          <w:sz w:val="28"/>
          <w:szCs w:val="28"/>
        </w:rPr>
      </w:pPr>
      <w:r w:rsidRPr="005014EA">
        <w:rPr>
          <w:rFonts w:ascii="Arial" w:hAnsi="Arial" w:cs="Arial"/>
          <w:b/>
          <w:bCs/>
          <w:sz w:val="28"/>
          <w:szCs w:val="28"/>
        </w:rPr>
        <w:t xml:space="preserve">2. </w:t>
      </w:r>
      <w:r w:rsidRPr="00017AD2">
        <w:rPr>
          <w:rFonts w:ascii="Arial" w:hAnsi="Arial" w:cs="Arial"/>
          <w:b/>
          <w:bCs/>
          <w:sz w:val="28"/>
          <w:szCs w:val="28"/>
        </w:rPr>
        <w:t>Customer Relationship Management (CRM) in Banking</w:t>
      </w:r>
      <w:r w:rsidRPr="005014EA">
        <w:rPr>
          <w:rFonts w:ascii="Arial" w:hAnsi="Arial" w:cs="Arial"/>
          <w:b/>
          <w:bCs/>
          <w:sz w:val="28"/>
          <w:szCs w:val="28"/>
        </w:rPr>
        <w:t>:</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1773"/>
        <w:gridCol w:w="1381"/>
        <w:gridCol w:w="1460"/>
        <w:gridCol w:w="1048"/>
        <w:gridCol w:w="1545"/>
      </w:tblGrid>
      <w:tr w:rsidR="00017AD2" w:rsidRPr="00017AD2" w14:paraId="1896188F" w14:textId="77777777" w:rsidTr="00017AD2">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85E1517"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Bank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0C5BF45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Customer Satisfaction Score (CSAT)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3EB87C8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Net Promoter Score (NPS)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68EFEBF"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Customer Retention Rate (%)</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76CFB0D6"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Cross-Selling Rate (%)</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8BFFE9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Average Customer Lifetime Value (CLV) ($)</w:t>
            </w:r>
          </w:p>
        </w:tc>
      </w:tr>
      <w:tr w:rsidR="00017AD2" w:rsidRPr="00017AD2" w14:paraId="495D2290"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138E08B"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JPMorgan Chase (JPM)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0B0FF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71081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4F65F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92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0897B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B21F07"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15,000</w:t>
            </w:r>
          </w:p>
        </w:tc>
      </w:tr>
      <w:tr w:rsidR="00017AD2" w:rsidRPr="00017AD2" w14:paraId="52C75897"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503D20C"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Bank of America (BAC)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E9DC0C5"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F9181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31CF72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90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941743E"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1564C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14,500</w:t>
            </w:r>
          </w:p>
        </w:tc>
      </w:tr>
      <w:tr w:rsidR="00017AD2" w:rsidRPr="00017AD2" w14:paraId="42784E23"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9E8B3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Wells Fargo (WFC)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14EDE0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78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9A946E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E10FB6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C88A9AE"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1E2523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13,000</w:t>
            </w:r>
          </w:p>
        </w:tc>
      </w:tr>
      <w:tr w:rsidR="00017AD2" w:rsidRPr="00017AD2" w14:paraId="3CDA2232"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C5A65D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lastRenderedPageBreak/>
              <w:t>Citigroup (C)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029E4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67E350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38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2C5FCD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0821BD4"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A724551"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14,000</w:t>
            </w:r>
          </w:p>
        </w:tc>
      </w:tr>
      <w:tr w:rsidR="00017AD2" w:rsidRPr="00017AD2" w14:paraId="26840288"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75EB5F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Goldman Sachs (GS)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777FB2F"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0EBF8D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7B7185E"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91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62E9F13"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9955F9"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15,500</w:t>
            </w:r>
          </w:p>
        </w:tc>
      </w:tr>
      <w:tr w:rsidR="00017AD2" w:rsidRPr="00017AD2" w14:paraId="461786A3" w14:textId="77777777" w:rsidTr="00017AD2">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161E36A"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Morgan Stanley (MS)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35E2257"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83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D582C5D"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41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AAAAD92"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90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0D1A64F"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28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5E61098" w14:textId="77777777" w:rsidR="00017AD2" w:rsidRPr="00017AD2" w:rsidRDefault="00017AD2" w:rsidP="00017AD2">
            <w:pPr>
              <w:jc w:val="center"/>
              <w:rPr>
                <w:rFonts w:ascii="Arial" w:hAnsi="Arial" w:cs="Arial"/>
                <w:b/>
                <w:bCs/>
                <w:sz w:val="28"/>
                <w:szCs w:val="28"/>
              </w:rPr>
            </w:pPr>
            <w:r w:rsidRPr="00017AD2">
              <w:rPr>
                <w:rFonts w:ascii="Arial" w:hAnsi="Arial" w:cs="Arial"/>
                <w:b/>
                <w:bCs/>
                <w:sz w:val="28"/>
                <w:szCs w:val="28"/>
              </w:rPr>
              <w:t>15,200</w:t>
            </w:r>
          </w:p>
        </w:tc>
      </w:tr>
    </w:tbl>
    <w:p w14:paraId="176996B1" w14:textId="77777777" w:rsidR="005014EA" w:rsidRDefault="005014EA" w:rsidP="00017AD2">
      <w:pPr>
        <w:rPr>
          <w:rFonts w:ascii="Arial" w:hAnsi="Arial" w:cs="Arial"/>
          <w:b/>
          <w:bCs/>
          <w:sz w:val="28"/>
          <w:szCs w:val="28"/>
        </w:rPr>
      </w:pPr>
    </w:p>
    <w:p w14:paraId="2FB99100" w14:textId="7A22782F" w:rsidR="00017AD2" w:rsidRPr="005014EA" w:rsidRDefault="00017AD2" w:rsidP="00017AD2">
      <w:pPr>
        <w:rPr>
          <w:rFonts w:ascii="Arial" w:hAnsi="Arial" w:cs="Arial"/>
          <w:b/>
          <w:bCs/>
          <w:sz w:val="28"/>
          <w:szCs w:val="28"/>
        </w:rPr>
      </w:pPr>
      <w:r w:rsidRPr="005014EA">
        <w:rPr>
          <w:rFonts w:ascii="Arial" w:hAnsi="Arial" w:cs="Arial"/>
          <w:b/>
          <w:bCs/>
          <w:sz w:val="28"/>
          <w:szCs w:val="28"/>
        </w:rPr>
        <w:t>Graphs:</w:t>
      </w:r>
    </w:p>
    <w:p w14:paraId="4963E39E" w14:textId="181FF938" w:rsidR="00F4067C" w:rsidRPr="005014EA" w:rsidRDefault="00017AD2" w:rsidP="00017AD2">
      <w:pPr>
        <w:rPr>
          <w:rFonts w:ascii="Arial" w:hAnsi="Arial" w:cs="Arial"/>
          <w:sz w:val="28"/>
          <w:szCs w:val="28"/>
        </w:rPr>
      </w:pPr>
      <w:r w:rsidRPr="005014EA">
        <w:rPr>
          <w:rFonts w:ascii="Arial" w:hAnsi="Arial" w:cs="Arial"/>
          <w:b/>
          <w:bCs/>
          <w:sz w:val="28"/>
          <w:szCs w:val="28"/>
        </w:rPr>
        <w:t>Graph 1:</w:t>
      </w:r>
      <w:r w:rsidR="00F4067C" w:rsidRPr="005014EA">
        <w:rPr>
          <w:rFonts w:ascii="Arial" w:hAnsi="Arial" w:cs="Arial"/>
          <w:sz w:val="28"/>
          <w:szCs w:val="28"/>
        </w:rPr>
        <w:t xml:space="preserve"> Stock Prices of Major US Banks (2020-2024):</w:t>
      </w:r>
    </w:p>
    <w:p w14:paraId="0C178CDD" w14:textId="77777777" w:rsidR="005014EA" w:rsidRDefault="00F4067C" w:rsidP="00F4067C">
      <w:pPr>
        <w:rPr>
          <w:rFonts w:ascii="Arial" w:hAnsi="Arial" w:cs="Arial"/>
          <w:b/>
          <w:bCs/>
          <w:sz w:val="28"/>
          <w:szCs w:val="28"/>
        </w:rPr>
      </w:pPr>
      <w:r w:rsidRPr="005014EA">
        <w:rPr>
          <w:rFonts w:ascii="Arial" w:hAnsi="Arial" w:cs="Arial"/>
          <w:noProof/>
          <w:sz w:val="28"/>
          <w:szCs w:val="28"/>
        </w:rPr>
        <w:drawing>
          <wp:inline distT="0" distB="0" distL="0" distR="0" wp14:anchorId="418A3826" wp14:editId="26BE521C">
            <wp:extent cx="5731510" cy="3403600"/>
            <wp:effectExtent l="0" t="0" r="2540" b="6350"/>
            <wp:docPr id="29981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3600"/>
                    </a:xfrm>
                    <a:prstGeom prst="rect">
                      <a:avLst/>
                    </a:prstGeom>
                    <a:noFill/>
                    <a:ln>
                      <a:noFill/>
                    </a:ln>
                  </pic:spPr>
                </pic:pic>
              </a:graphicData>
            </a:graphic>
          </wp:inline>
        </w:drawing>
      </w:r>
    </w:p>
    <w:p w14:paraId="222A9A6C" w14:textId="77777777" w:rsidR="005014EA" w:rsidRDefault="005014EA" w:rsidP="00F4067C">
      <w:pPr>
        <w:rPr>
          <w:rFonts w:ascii="Arial" w:hAnsi="Arial" w:cs="Arial"/>
          <w:b/>
          <w:bCs/>
          <w:sz w:val="28"/>
          <w:szCs w:val="28"/>
        </w:rPr>
      </w:pPr>
    </w:p>
    <w:p w14:paraId="67B63AF1" w14:textId="25D61D31" w:rsidR="00F4067C" w:rsidRPr="005014EA" w:rsidRDefault="00F4067C" w:rsidP="00F4067C">
      <w:pPr>
        <w:rPr>
          <w:rFonts w:ascii="Arial" w:hAnsi="Arial" w:cs="Arial"/>
          <w:sz w:val="28"/>
          <w:szCs w:val="28"/>
        </w:rPr>
      </w:pPr>
      <w:r w:rsidRPr="005014EA">
        <w:rPr>
          <w:rFonts w:ascii="Arial" w:hAnsi="Arial" w:cs="Arial"/>
          <w:b/>
          <w:bCs/>
          <w:sz w:val="28"/>
          <w:szCs w:val="28"/>
        </w:rPr>
        <w:lastRenderedPageBreak/>
        <w:t>Inference:</w:t>
      </w:r>
    </w:p>
    <w:p w14:paraId="550012C2" w14:textId="77777777" w:rsidR="00F4067C" w:rsidRPr="00F4067C" w:rsidRDefault="00F4067C" w:rsidP="00F4067C">
      <w:pPr>
        <w:numPr>
          <w:ilvl w:val="0"/>
          <w:numId w:val="6"/>
        </w:numPr>
        <w:rPr>
          <w:rFonts w:ascii="Arial" w:hAnsi="Arial" w:cs="Arial"/>
          <w:sz w:val="28"/>
          <w:szCs w:val="28"/>
        </w:rPr>
      </w:pPr>
      <w:r w:rsidRPr="00F4067C">
        <w:rPr>
          <w:rFonts w:ascii="Arial" w:hAnsi="Arial" w:cs="Arial"/>
          <w:b/>
          <w:bCs/>
          <w:sz w:val="28"/>
          <w:szCs w:val="28"/>
        </w:rPr>
        <w:t>Trend Analysis:</w:t>
      </w:r>
      <w:r w:rsidRPr="00F4067C">
        <w:rPr>
          <w:rFonts w:ascii="Arial" w:hAnsi="Arial" w:cs="Arial"/>
          <w:sz w:val="28"/>
          <w:szCs w:val="28"/>
        </w:rPr>
        <w:t> The stock prices of major US banks such as JPMorgan Chase (JPM), Bank of America (BAC), Wells Fargo (WFC), Citigroup (C), Goldman Sachs (GS), and Morgan Stanley (MS) show varying trends over the period from 2020 to 2024.</w:t>
      </w:r>
    </w:p>
    <w:p w14:paraId="7EDC6E4B" w14:textId="77777777" w:rsidR="00F4067C" w:rsidRPr="00F4067C" w:rsidRDefault="00F4067C" w:rsidP="00F4067C">
      <w:pPr>
        <w:numPr>
          <w:ilvl w:val="0"/>
          <w:numId w:val="6"/>
        </w:numPr>
        <w:rPr>
          <w:rFonts w:ascii="Arial" w:hAnsi="Arial" w:cs="Arial"/>
          <w:sz w:val="28"/>
          <w:szCs w:val="28"/>
        </w:rPr>
      </w:pPr>
      <w:r w:rsidRPr="00F4067C">
        <w:rPr>
          <w:rFonts w:ascii="Arial" w:hAnsi="Arial" w:cs="Arial"/>
          <w:b/>
          <w:bCs/>
          <w:sz w:val="28"/>
          <w:szCs w:val="28"/>
        </w:rPr>
        <w:t>Impact of Regulatory Events:</w:t>
      </w:r>
      <w:r w:rsidRPr="00F4067C">
        <w:rPr>
          <w:rFonts w:ascii="Arial" w:hAnsi="Arial" w:cs="Arial"/>
          <w:sz w:val="28"/>
          <w:szCs w:val="28"/>
        </w:rPr>
        <w:t> Significant dips or spikes in stock prices can often be correlated with major regulatory events or compliance issues. For instance, a sharp decline might indicate a regulatory fine or compliance failure, while a steady increase could suggest strong regulatory adherence and investor confidence.</w:t>
      </w:r>
    </w:p>
    <w:p w14:paraId="698040EF" w14:textId="77777777" w:rsidR="00F4067C" w:rsidRPr="00F4067C" w:rsidRDefault="00F4067C" w:rsidP="00F4067C">
      <w:pPr>
        <w:numPr>
          <w:ilvl w:val="0"/>
          <w:numId w:val="6"/>
        </w:numPr>
        <w:rPr>
          <w:rFonts w:ascii="Arial" w:hAnsi="Arial" w:cs="Arial"/>
          <w:sz w:val="28"/>
          <w:szCs w:val="28"/>
        </w:rPr>
      </w:pPr>
      <w:r w:rsidRPr="00F4067C">
        <w:rPr>
          <w:rFonts w:ascii="Arial" w:hAnsi="Arial" w:cs="Arial"/>
          <w:b/>
          <w:bCs/>
          <w:sz w:val="28"/>
          <w:szCs w:val="28"/>
        </w:rPr>
        <w:t>Comparative Performance:</w:t>
      </w:r>
      <w:r w:rsidRPr="00F4067C">
        <w:rPr>
          <w:rFonts w:ascii="Arial" w:hAnsi="Arial" w:cs="Arial"/>
          <w:sz w:val="28"/>
          <w:szCs w:val="28"/>
        </w:rPr>
        <w:t> By comparing the stock prices, we can infer which banks have been more resilient or volatile in response to regulatory changes and market conditions.</w:t>
      </w:r>
    </w:p>
    <w:p w14:paraId="1A1C2281" w14:textId="0D89596D" w:rsidR="00F4067C" w:rsidRPr="005014EA" w:rsidRDefault="00F4067C" w:rsidP="00F4067C">
      <w:pPr>
        <w:rPr>
          <w:rFonts w:ascii="Arial" w:hAnsi="Arial" w:cs="Arial"/>
          <w:sz w:val="28"/>
          <w:szCs w:val="28"/>
        </w:rPr>
      </w:pPr>
      <w:r w:rsidRPr="005014EA">
        <w:rPr>
          <w:rFonts w:ascii="Arial" w:hAnsi="Arial" w:cs="Arial"/>
          <w:b/>
          <w:bCs/>
          <w:sz w:val="28"/>
          <w:szCs w:val="28"/>
        </w:rPr>
        <w:t>Graph 2:</w:t>
      </w:r>
      <w:r w:rsidRPr="005014EA">
        <w:rPr>
          <w:rFonts w:ascii="Arial" w:hAnsi="Arial" w:cs="Arial"/>
          <w:sz w:val="28"/>
          <w:szCs w:val="28"/>
        </w:rPr>
        <w:t xml:space="preserve"> Annualized Returns of Major US Banks (2020-2024):</w:t>
      </w:r>
    </w:p>
    <w:p w14:paraId="4BD92A5B" w14:textId="213AD62F" w:rsidR="00F4067C" w:rsidRPr="005014EA" w:rsidRDefault="00F4067C" w:rsidP="00F4067C">
      <w:pPr>
        <w:rPr>
          <w:rFonts w:ascii="Arial" w:hAnsi="Arial" w:cs="Arial"/>
          <w:sz w:val="28"/>
          <w:szCs w:val="28"/>
        </w:rPr>
      </w:pPr>
      <w:r w:rsidRPr="005014EA">
        <w:rPr>
          <w:rFonts w:ascii="Arial" w:hAnsi="Arial" w:cs="Arial"/>
          <w:noProof/>
          <w:sz w:val="28"/>
          <w:szCs w:val="28"/>
        </w:rPr>
        <w:drawing>
          <wp:inline distT="0" distB="0" distL="0" distR="0" wp14:anchorId="18C070A5" wp14:editId="63C89B5B">
            <wp:extent cx="5731510" cy="3556000"/>
            <wp:effectExtent l="0" t="0" r="2540" b="6350"/>
            <wp:docPr id="7572357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6000"/>
                    </a:xfrm>
                    <a:prstGeom prst="rect">
                      <a:avLst/>
                    </a:prstGeom>
                    <a:noFill/>
                    <a:ln>
                      <a:noFill/>
                    </a:ln>
                  </pic:spPr>
                </pic:pic>
              </a:graphicData>
            </a:graphic>
          </wp:inline>
        </w:drawing>
      </w:r>
      <w:r w:rsidRPr="005014EA">
        <w:rPr>
          <w:rFonts w:ascii="Arial" w:hAnsi="Arial" w:cs="Arial"/>
          <w:b/>
          <w:bCs/>
          <w:sz w:val="28"/>
          <w:szCs w:val="28"/>
        </w:rPr>
        <w:t>Inference:</w:t>
      </w:r>
    </w:p>
    <w:p w14:paraId="653AC0FE" w14:textId="77777777" w:rsidR="00F4067C" w:rsidRPr="00F4067C" w:rsidRDefault="00F4067C" w:rsidP="00F4067C">
      <w:pPr>
        <w:numPr>
          <w:ilvl w:val="0"/>
          <w:numId w:val="7"/>
        </w:numPr>
        <w:rPr>
          <w:rFonts w:ascii="Arial" w:hAnsi="Arial" w:cs="Arial"/>
          <w:sz w:val="28"/>
          <w:szCs w:val="28"/>
        </w:rPr>
      </w:pPr>
      <w:r w:rsidRPr="00F4067C">
        <w:rPr>
          <w:rFonts w:ascii="Arial" w:hAnsi="Arial" w:cs="Arial"/>
          <w:b/>
          <w:bCs/>
          <w:sz w:val="28"/>
          <w:szCs w:val="28"/>
        </w:rPr>
        <w:t>Performance Indicator:</w:t>
      </w:r>
      <w:r w:rsidRPr="00F4067C">
        <w:rPr>
          <w:rFonts w:ascii="Arial" w:hAnsi="Arial" w:cs="Arial"/>
          <w:sz w:val="28"/>
          <w:szCs w:val="28"/>
        </w:rPr>
        <w:t> The annualized returns provide a measure of the banks' performance over the period. Higher returns suggest better financial health and possibly more effective customer relationship management (CRM) practices.</w:t>
      </w:r>
    </w:p>
    <w:p w14:paraId="1A0ACB9C" w14:textId="77777777" w:rsidR="00F4067C" w:rsidRPr="00F4067C" w:rsidRDefault="00F4067C" w:rsidP="00F4067C">
      <w:pPr>
        <w:numPr>
          <w:ilvl w:val="0"/>
          <w:numId w:val="7"/>
        </w:numPr>
        <w:rPr>
          <w:rFonts w:ascii="Arial" w:hAnsi="Arial" w:cs="Arial"/>
          <w:sz w:val="28"/>
          <w:szCs w:val="28"/>
        </w:rPr>
      </w:pPr>
      <w:r w:rsidRPr="00F4067C">
        <w:rPr>
          <w:rFonts w:ascii="Arial" w:hAnsi="Arial" w:cs="Arial"/>
          <w:b/>
          <w:bCs/>
          <w:sz w:val="28"/>
          <w:szCs w:val="28"/>
        </w:rPr>
        <w:lastRenderedPageBreak/>
        <w:t>CRM Effectiveness:</w:t>
      </w:r>
      <w:r w:rsidRPr="00F4067C">
        <w:rPr>
          <w:rFonts w:ascii="Arial" w:hAnsi="Arial" w:cs="Arial"/>
          <w:sz w:val="28"/>
          <w:szCs w:val="28"/>
        </w:rPr>
        <w:t> Banks with higher annualized returns may have better CRM strategies, leading to higher customer satisfaction and retention, which in turn boosts financial performance.</w:t>
      </w:r>
    </w:p>
    <w:p w14:paraId="2B31D266" w14:textId="77777777" w:rsidR="00F4067C" w:rsidRPr="00F4067C" w:rsidRDefault="00F4067C" w:rsidP="00F4067C">
      <w:pPr>
        <w:numPr>
          <w:ilvl w:val="0"/>
          <w:numId w:val="7"/>
        </w:numPr>
        <w:rPr>
          <w:rFonts w:ascii="Arial" w:hAnsi="Arial" w:cs="Arial"/>
          <w:sz w:val="28"/>
          <w:szCs w:val="28"/>
        </w:rPr>
      </w:pPr>
      <w:r w:rsidRPr="00F4067C">
        <w:rPr>
          <w:rFonts w:ascii="Arial" w:hAnsi="Arial" w:cs="Arial"/>
          <w:b/>
          <w:bCs/>
          <w:sz w:val="28"/>
          <w:szCs w:val="28"/>
        </w:rPr>
        <w:t>Risk and Reward:</w:t>
      </w:r>
      <w:r w:rsidRPr="00F4067C">
        <w:rPr>
          <w:rFonts w:ascii="Arial" w:hAnsi="Arial" w:cs="Arial"/>
          <w:sz w:val="28"/>
          <w:szCs w:val="28"/>
        </w:rPr>
        <w:t> Comparing the returns across banks helps identify which banks have provided better returns relative to their peers, indicating potentially better management and strategic decisions.</w:t>
      </w:r>
    </w:p>
    <w:p w14:paraId="486DAFDD" w14:textId="3300A008" w:rsidR="00442021" w:rsidRPr="005014EA" w:rsidRDefault="00442021" w:rsidP="00442021">
      <w:pPr>
        <w:rPr>
          <w:rFonts w:ascii="Arial" w:hAnsi="Arial" w:cs="Arial"/>
          <w:sz w:val="28"/>
          <w:szCs w:val="28"/>
        </w:rPr>
      </w:pPr>
      <w:r w:rsidRPr="005014EA">
        <w:rPr>
          <w:rFonts w:ascii="Arial" w:hAnsi="Arial" w:cs="Arial"/>
          <w:b/>
          <w:bCs/>
          <w:sz w:val="28"/>
          <w:szCs w:val="28"/>
        </w:rPr>
        <w:t>Graph 3:</w:t>
      </w:r>
      <w:r w:rsidRPr="005014EA">
        <w:rPr>
          <w:rFonts w:ascii="Arial" w:hAnsi="Arial" w:cs="Arial"/>
          <w:sz w:val="28"/>
          <w:szCs w:val="28"/>
        </w:rPr>
        <w:t xml:space="preserve"> Annualized Volatility of Major US Banks (2020-2024):</w:t>
      </w:r>
    </w:p>
    <w:p w14:paraId="6AF8756C" w14:textId="32178EE2" w:rsidR="00442021" w:rsidRPr="005014EA" w:rsidRDefault="00442021" w:rsidP="00442021">
      <w:pPr>
        <w:rPr>
          <w:rFonts w:ascii="Arial" w:hAnsi="Arial" w:cs="Arial"/>
          <w:sz w:val="28"/>
          <w:szCs w:val="28"/>
        </w:rPr>
      </w:pPr>
      <w:r w:rsidRPr="005014EA">
        <w:rPr>
          <w:rFonts w:ascii="Arial" w:hAnsi="Arial" w:cs="Arial"/>
          <w:noProof/>
          <w:sz w:val="28"/>
          <w:szCs w:val="28"/>
        </w:rPr>
        <w:drawing>
          <wp:inline distT="0" distB="0" distL="0" distR="0" wp14:anchorId="6EE932F1" wp14:editId="232CCF57">
            <wp:extent cx="5731510" cy="3543300"/>
            <wp:effectExtent l="0" t="0" r="2540" b="6350"/>
            <wp:docPr id="524842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r w:rsidRPr="005014EA">
        <w:rPr>
          <w:rFonts w:ascii="Arial" w:hAnsi="Arial" w:cs="Arial"/>
          <w:b/>
          <w:bCs/>
          <w:sz w:val="28"/>
          <w:szCs w:val="28"/>
        </w:rPr>
        <w:t>Inference:</w:t>
      </w:r>
    </w:p>
    <w:p w14:paraId="58BD8FFE" w14:textId="77777777" w:rsidR="00442021" w:rsidRPr="00442021" w:rsidRDefault="00442021" w:rsidP="00442021">
      <w:pPr>
        <w:numPr>
          <w:ilvl w:val="0"/>
          <w:numId w:val="8"/>
        </w:numPr>
        <w:rPr>
          <w:rFonts w:ascii="Arial" w:hAnsi="Arial" w:cs="Arial"/>
          <w:sz w:val="28"/>
          <w:szCs w:val="28"/>
        </w:rPr>
      </w:pPr>
      <w:r w:rsidRPr="00442021">
        <w:rPr>
          <w:rFonts w:ascii="Arial" w:hAnsi="Arial" w:cs="Arial"/>
          <w:b/>
          <w:bCs/>
          <w:sz w:val="28"/>
          <w:szCs w:val="28"/>
        </w:rPr>
        <w:t>Risk Assessment:</w:t>
      </w:r>
      <w:r w:rsidRPr="00442021">
        <w:rPr>
          <w:rFonts w:ascii="Arial" w:hAnsi="Arial" w:cs="Arial"/>
          <w:sz w:val="28"/>
          <w:szCs w:val="28"/>
        </w:rPr>
        <w:t> Volatility measures the degree of variation in stock prices over time. Higher volatility indicates higher risk, as the stock prices are more prone to significant fluctuations.</w:t>
      </w:r>
    </w:p>
    <w:p w14:paraId="7B49E281" w14:textId="77777777" w:rsidR="00442021" w:rsidRPr="00442021" w:rsidRDefault="00442021" w:rsidP="00442021">
      <w:pPr>
        <w:numPr>
          <w:ilvl w:val="0"/>
          <w:numId w:val="8"/>
        </w:numPr>
        <w:rPr>
          <w:rFonts w:ascii="Arial" w:hAnsi="Arial" w:cs="Arial"/>
          <w:sz w:val="28"/>
          <w:szCs w:val="28"/>
        </w:rPr>
      </w:pPr>
      <w:r w:rsidRPr="00442021">
        <w:rPr>
          <w:rFonts w:ascii="Arial" w:hAnsi="Arial" w:cs="Arial"/>
          <w:b/>
          <w:bCs/>
          <w:sz w:val="28"/>
          <w:szCs w:val="28"/>
        </w:rPr>
        <w:t>Regulatory Impact:</w:t>
      </w:r>
      <w:r w:rsidRPr="00442021">
        <w:rPr>
          <w:rFonts w:ascii="Arial" w:hAnsi="Arial" w:cs="Arial"/>
          <w:sz w:val="28"/>
          <w:szCs w:val="28"/>
        </w:rPr>
        <w:t> Banks with higher volatility might be more sensitive to regulatory changes and compliance issues. For example, a bank facing frequent regulatory scrutiny might exhibit higher volatility.</w:t>
      </w:r>
    </w:p>
    <w:p w14:paraId="5C8369E5" w14:textId="77777777" w:rsidR="00442021" w:rsidRPr="00442021" w:rsidRDefault="00442021" w:rsidP="00442021">
      <w:pPr>
        <w:numPr>
          <w:ilvl w:val="0"/>
          <w:numId w:val="8"/>
        </w:numPr>
        <w:rPr>
          <w:rFonts w:ascii="Arial" w:hAnsi="Arial" w:cs="Arial"/>
          <w:sz w:val="28"/>
          <w:szCs w:val="28"/>
        </w:rPr>
      </w:pPr>
      <w:r w:rsidRPr="00442021">
        <w:rPr>
          <w:rFonts w:ascii="Arial" w:hAnsi="Arial" w:cs="Arial"/>
          <w:b/>
          <w:bCs/>
          <w:sz w:val="28"/>
          <w:szCs w:val="28"/>
        </w:rPr>
        <w:t>Investor Sentiment:</w:t>
      </w:r>
      <w:r w:rsidRPr="00442021">
        <w:rPr>
          <w:rFonts w:ascii="Arial" w:hAnsi="Arial" w:cs="Arial"/>
          <w:sz w:val="28"/>
          <w:szCs w:val="28"/>
        </w:rPr>
        <w:t> Lower volatility generally suggests stable investor sentiment and confidence in the bank's management and compliance practices.</w:t>
      </w:r>
    </w:p>
    <w:p w14:paraId="0B139941" w14:textId="09EB1BE6" w:rsidR="00442021" w:rsidRPr="005014EA" w:rsidRDefault="00442021" w:rsidP="00442021">
      <w:pPr>
        <w:rPr>
          <w:rFonts w:ascii="Arial" w:hAnsi="Arial" w:cs="Arial"/>
          <w:sz w:val="28"/>
          <w:szCs w:val="28"/>
        </w:rPr>
      </w:pPr>
      <w:r w:rsidRPr="005014EA">
        <w:rPr>
          <w:rFonts w:ascii="Arial" w:hAnsi="Arial" w:cs="Arial"/>
          <w:b/>
          <w:bCs/>
          <w:sz w:val="28"/>
          <w:szCs w:val="28"/>
        </w:rPr>
        <w:lastRenderedPageBreak/>
        <w:t>Graph 4:</w:t>
      </w:r>
      <w:r w:rsidRPr="005014EA">
        <w:rPr>
          <w:rFonts w:ascii="Arial" w:hAnsi="Arial" w:cs="Arial"/>
          <w:sz w:val="28"/>
          <w:szCs w:val="28"/>
        </w:rPr>
        <w:t xml:space="preserve"> Dividend Yield of Major US Banks (2024):</w:t>
      </w:r>
    </w:p>
    <w:p w14:paraId="5A11FAB6" w14:textId="4AC5328B" w:rsidR="00876CD3" w:rsidRPr="005014EA" w:rsidRDefault="00442021" w:rsidP="00876CD3">
      <w:pPr>
        <w:rPr>
          <w:rFonts w:ascii="Arial" w:hAnsi="Arial" w:cs="Arial"/>
          <w:sz w:val="28"/>
          <w:szCs w:val="28"/>
        </w:rPr>
      </w:pPr>
      <w:r w:rsidRPr="005014EA">
        <w:rPr>
          <w:rFonts w:ascii="Arial" w:hAnsi="Arial" w:cs="Arial"/>
          <w:noProof/>
          <w:sz w:val="28"/>
          <w:szCs w:val="28"/>
        </w:rPr>
        <w:drawing>
          <wp:inline distT="0" distB="0" distL="0" distR="0" wp14:anchorId="732B322D" wp14:editId="01EB6471">
            <wp:extent cx="5731510" cy="3454400"/>
            <wp:effectExtent l="0" t="0" r="2540" b="0"/>
            <wp:docPr id="270846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r w:rsidR="00876CD3" w:rsidRPr="005014EA">
        <w:rPr>
          <w:rFonts w:ascii="Arial" w:hAnsi="Arial" w:cs="Arial"/>
          <w:b/>
          <w:bCs/>
          <w:sz w:val="28"/>
          <w:szCs w:val="28"/>
        </w:rPr>
        <w:t>Inference:</w:t>
      </w:r>
    </w:p>
    <w:p w14:paraId="7ECC00CA" w14:textId="77777777" w:rsidR="00876CD3" w:rsidRPr="00876CD3" w:rsidRDefault="00876CD3" w:rsidP="00876CD3">
      <w:pPr>
        <w:numPr>
          <w:ilvl w:val="0"/>
          <w:numId w:val="9"/>
        </w:numPr>
        <w:rPr>
          <w:rFonts w:ascii="Arial" w:hAnsi="Arial" w:cs="Arial"/>
          <w:sz w:val="28"/>
          <w:szCs w:val="28"/>
        </w:rPr>
      </w:pPr>
      <w:r w:rsidRPr="00876CD3">
        <w:rPr>
          <w:rFonts w:ascii="Arial" w:hAnsi="Arial" w:cs="Arial"/>
          <w:b/>
          <w:bCs/>
          <w:sz w:val="28"/>
          <w:szCs w:val="28"/>
        </w:rPr>
        <w:t>Income Generation:</w:t>
      </w:r>
      <w:r w:rsidRPr="00876CD3">
        <w:rPr>
          <w:rFonts w:ascii="Arial" w:hAnsi="Arial" w:cs="Arial"/>
          <w:sz w:val="28"/>
          <w:szCs w:val="28"/>
        </w:rPr>
        <w:t> Dividend yield indicates how much a bank pays out in dividends relative to its stock price. Higher dividend yields can attract income-focused investors.</w:t>
      </w:r>
    </w:p>
    <w:p w14:paraId="73473C11" w14:textId="77777777" w:rsidR="00876CD3" w:rsidRPr="00876CD3" w:rsidRDefault="00876CD3" w:rsidP="00876CD3">
      <w:pPr>
        <w:numPr>
          <w:ilvl w:val="0"/>
          <w:numId w:val="9"/>
        </w:numPr>
        <w:rPr>
          <w:rFonts w:ascii="Arial" w:hAnsi="Arial" w:cs="Arial"/>
          <w:sz w:val="28"/>
          <w:szCs w:val="28"/>
        </w:rPr>
      </w:pPr>
      <w:r w:rsidRPr="00876CD3">
        <w:rPr>
          <w:rFonts w:ascii="Arial" w:hAnsi="Arial" w:cs="Arial"/>
          <w:b/>
          <w:bCs/>
          <w:sz w:val="28"/>
          <w:szCs w:val="28"/>
        </w:rPr>
        <w:t>Financial Health:</w:t>
      </w:r>
      <w:r w:rsidRPr="00876CD3">
        <w:rPr>
          <w:rFonts w:ascii="Arial" w:hAnsi="Arial" w:cs="Arial"/>
          <w:sz w:val="28"/>
          <w:szCs w:val="28"/>
        </w:rPr>
        <w:t> Consistent and high dividend yields may suggest strong financial health and profitability, which can be a result of effective CRM practices that enhance customer loyalty and revenue.</w:t>
      </w:r>
    </w:p>
    <w:p w14:paraId="0ED84D97" w14:textId="77777777" w:rsidR="00876CD3" w:rsidRPr="00876CD3" w:rsidRDefault="00876CD3" w:rsidP="00876CD3">
      <w:pPr>
        <w:numPr>
          <w:ilvl w:val="0"/>
          <w:numId w:val="9"/>
        </w:numPr>
        <w:rPr>
          <w:rFonts w:ascii="Arial" w:hAnsi="Arial" w:cs="Arial"/>
          <w:sz w:val="28"/>
          <w:szCs w:val="28"/>
        </w:rPr>
      </w:pPr>
      <w:r w:rsidRPr="00876CD3">
        <w:rPr>
          <w:rFonts w:ascii="Arial" w:hAnsi="Arial" w:cs="Arial"/>
          <w:b/>
          <w:bCs/>
          <w:sz w:val="28"/>
          <w:szCs w:val="28"/>
        </w:rPr>
        <w:t>Regulatory Influence:</w:t>
      </w:r>
      <w:r w:rsidRPr="00876CD3">
        <w:rPr>
          <w:rFonts w:ascii="Arial" w:hAnsi="Arial" w:cs="Arial"/>
          <w:sz w:val="28"/>
          <w:szCs w:val="28"/>
        </w:rPr>
        <w:t> Regulatory policies can impact dividend payouts. For instance, during financial crises, regulators might restrict dividend payments to ensure banks maintain adequate capital reserves.</w:t>
      </w:r>
    </w:p>
    <w:p w14:paraId="6CBCF157" w14:textId="77777777" w:rsidR="005014EA" w:rsidRDefault="005014EA" w:rsidP="00876CD3">
      <w:pPr>
        <w:rPr>
          <w:rFonts w:ascii="Arial" w:hAnsi="Arial" w:cs="Arial"/>
          <w:b/>
          <w:bCs/>
          <w:sz w:val="28"/>
          <w:szCs w:val="28"/>
        </w:rPr>
      </w:pPr>
    </w:p>
    <w:p w14:paraId="794C8DD9" w14:textId="77777777" w:rsidR="005014EA" w:rsidRDefault="005014EA" w:rsidP="00876CD3">
      <w:pPr>
        <w:rPr>
          <w:rFonts w:ascii="Arial" w:hAnsi="Arial" w:cs="Arial"/>
          <w:b/>
          <w:bCs/>
          <w:sz w:val="28"/>
          <w:szCs w:val="28"/>
        </w:rPr>
      </w:pPr>
    </w:p>
    <w:p w14:paraId="2D4A7678" w14:textId="77777777" w:rsidR="005014EA" w:rsidRDefault="005014EA" w:rsidP="00876CD3">
      <w:pPr>
        <w:rPr>
          <w:rFonts w:ascii="Arial" w:hAnsi="Arial" w:cs="Arial"/>
          <w:b/>
          <w:bCs/>
          <w:sz w:val="28"/>
          <w:szCs w:val="28"/>
        </w:rPr>
      </w:pPr>
    </w:p>
    <w:p w14:paraId="180B42F6" w14:textId="77777777" w:rsidR="005014EA" w:rsidRDefault="005014EA" w:rsidP="00876CD3">
      <w:pPr>
        <w:rPr>
          <w:rFonts w:ascii="Arial" w:hAnsi="Arial" w:cs="Arial"/>
          <w:b/>
          <w:bCs/>
          <w:sz w:val="28"/>
          <w:szCs w:val="28"/>
        </w:rPr>
      </w:pPr>
    </w:p>
    <w:p w14:paraId="472AA61D" w14:textId="77777777" w:rsidR="005014EA" w:rsidRDefault="005014EA" w:rsidP="00876CD3">
      <w:pPr>
        <w:rPr>
          <w:rFonts w:ascii="Arial" w:hAnsi="Arial" w:cs="Arial"/>
          <w:b/>
          <w:bCs/>
          <w:sz w:val="28"/>
          <w:szCs w:val="28"/>
        </w:rPr>
      </w:pPr>
    </w:p>
    <w:p w14:paraId="734442B7" w14:textId="77777777" w:rsidR="005014EA" w:rsidRDefault="005014EA" w:rsidP="00876CD3">
      <w:pPr>
        <w:rPr>
          <w:rFonts w:ascii="Arial" w:hAnsi="Arial" w:cs="Arial"/>
          <w:b/>
          <w:bCs/>
          <w:sz w:val="28"/>
          <w:szCs w:val="28"/>
        </w:rPr>
      </w:pPr>
    </w:p>
    <w:p w14:paraId="6C10C104" w14:textId="59BE4404" w:rsidR="006C5DA5" w:rsidRPr="005014EA" w:rsidRDefault="00876CD3" w:rsidP="00876CD3">
      <w:pPr>
        <w:rPr>
          <w:rFonts w:ascii="Arial" w:hAnsi="Arial" w:cs="Arial"/>
          <w:sz w:val="28"/>
          <w:szCs w:val="28"/>
        </w:rPr>
      </w:pPr>
      <w:r w:rsidRPr="005014EA">
        <w:rPr>
          <w:rFonts w:ascii="Arial" w:hAnsi="Arial" w:cs="Arial"/>
          <w:b/>
          <w:bCs/>
          <w:sz w:val="28"/>
          <w:szCs w:val="28"/>
        </w:rPr>
        <w:lastRenderedPageBreak/>
        <w:t>Graph 5:</w:t>
      </w:r>
      <w:r w:rsidRPr="005014EA">
        <w:rPr>
          <w:rFonts w:ascii="Arial" w:hAnsi="Arial" w:cs="Arial"/>
          <w:sz w:val="28"/>
          <w:szCs w:val="28"/>
        </w:rPr>
        <w:t xml:space="preserve"> Price-to-Earnings (P/E) Ratio of Major US Banks (2024):</w:t>
      </w:r>
    </w:p>
    <w:p w14:paraId="3AC5D5C2" w14:textId="3A3473F0" w:rsidR="006C5DA5" w:rsidRPr="005014EA" w:rsidRDefault="006C5DA5" w:rsidP="006C5DA5">
      <w:pPr>
        <w:rPr>
          <w:rFonts w:ascii="Arial" w:hAnsi="Arial" w:cs="Arial"/>
          <w:sz w:val="28"/>
          <w:szCs w:val="28"/>
        </w:rPr>
      </w:pPr>
      <w:r w:rsidRPr="005014EA">
        <w:rPr>
          <w:rFonts w:ascii="Arial" w:hAnsi="Arial" w:cs="Arial"/>
          <w:noProof/>
          <w:sz w:val="28"/>
          <w:szCs w:val="28"/>
        </w:rPr>
        <w:drawing>
          <wp:inline distT="0" distB="0" distL="0" distR="0" wp14:anchorId="4E4F6CCF" wp14:editId="7D5B73C2">
            <wp:extent cx="5731510" cy="3454400"/>
            <wp:effectExtent l="0" t="0" r="2540" b="0"/>
            <wp:docPr id="924317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54400"/>
                    </a:xfrm>
                    <a:prstGeom prst="rect">
                      <a:avLst/>
                    </a:prstGeom>
                    <a:noFill/>
                    <a:ln>
                      <a:noFill/>
                    </a:ln>
                  </pic:spPr>
                </pic:pic>
              </a:graphicData>
            </a:graphic>
          </wp:inline>
        </w:drawing>
      </w:r>
      <w:r w:rsidRPr="005014EA">
        <w:rPr>
          <w:rFonts w:ascii="Arial" w:hAnsi="Arial" w:cs="Arial"/>
          <w:b/>
          <w:bCs/>
          <w:sz w:val="28"/>
          <w:szCs w:val="28"/>
        </w:rPr>
        <w:t>Inference:</w:t>
      </w:r>
    </w:p>
    <w:p w14:paraId="52A63A8C" w14:textId="77777777" w:rsidR="006C5DA5" w:rsidRPr="006C5DA5" w:rsidRDefault="006C5DA5" w:rsidP="006C5DA5">
      <w:pPr>
        <w:numPr>
          <w:ilvl w:val="0"/>
          <w:numId w:val="10"/>
        </w:numPr>
        <w:rPr>
          <w:rFonts w:ascii="Arial" w:hAnsi="Arial" w:cs="Arial"/>
          <w:sz w:val="28"/>
          <w:szCs w:val="28"/>
        </w:rPr>
      </w:pPr>
      <w:r w:rsidRPr="006C5DA5">
        <w:rPr>
          <w:rFonts w:ascii="Arial" w:hAnsi="Arial" w:cs="Arial"/>
          <w:b/>
          <w:bCs/>
          <w:sz w:val="28"/>
          <w:szCs w:val="28"/>
        </w:rPr>
        <w:t>Valuation Metric:</w:t>
      </w:r>
      <w:r w:rsidRPr="006C5DA5">
        <w:rPr>
          <w:rFonts w:ascii="Arial" w:hAnsi="Arial" w:cs="Arial"/>
          <w:sz w:val="28"/>
          <w:szCs w:val="28"/>
        </w:rPr>
        <w:t> The P/E ratio is a common valuation metric that compares a bank's current share price to its per-share earnings. A higher P/E ratio might indicate that the market expects future growth, while a lower P/E ratio could suggest undervaluation or potential issues.</w:t>
      </w:r>
    </w:p>
    <w:p w14:paraId="4E20DE88" w14:textId="77777777" w:rsidR="006C5DA5" w:rsidRPr="006C5DA5" w:rsidRDefault="006C5DA5" w:rsidP="006C5DA5">
      <w:pPr>
        <w:numPr>
          <w:ilvl w:val="0"/>
          <w:numId w:val="10"/>
        </w:numPr>
        <w:rPr>
          <w:rFonts w:ascii="Arial" w:hAnsi="Arial" w:cs="Arial"/>
          <w:sz w:val="28"/>
          <w:szCs w:val="28"/>
        </w:rPr>
      </w:pPr>
      <w:r w:rsidRPr="006C5DA5">
        <w:rPr>
          <w:rFonts w:ascii="Arial" w:hAnsi="Arial" w:cs="Arial"/>
          <w:b/>
          <w:bCs/>
          <w:sz w:val="28"/>
          <w:szCs w:val="28"/>
        </w:rPr>
        <w:t>Market Expectations:</w:t>
      </w:r>
      <w:r w:rsidRPr="006C5DA5">
        <w:rPr>
          <w:rFonts w:ascii="Arial" w:hAnsi="Arial" w:cs="Arial"/>
          <w:sz w:val="28"/>
          <w:szCs w:val="28"/>
        </w:rPr>
        <w:t> Banks with higher P/E ratios might be perceived as having better growth prospects, possibly due to strong CRM practices that drive future earnings.</w:t>
      </w:r>
    </w:p>
    <w:p w14:paraId="5E05E0CB" w14:textId="77777777" w:rsidR="006C5DA5" w:rsidRPr="006C5DA5" w:rsidRDefault="006C5DA5" w:rsidP="006C5DA5">
      <w:pPr>
        <w:numPr>
          <w:ilvl w:val="0"/>
          <w:numId w:val="10"/>
        </w:numPr>
        <w:rPr>
          <w:rFonts w:ascii="Arial" w:hAnsi="Arial" w:cs="Arial"/>
          <w:sz w:val="28"/>
          <w:szCs w:val="28"/>
        </w:rPr>
      </w:pPr>
      <w:r w:rsidRPr="006C5DA5">
        <w:rPr>
          <w:rFonts w:ascii="Arial" w:hAnsi="Arial" w:cs="Arial"/>
          <w:b/>
          <w:bCs/>
          <w:sz w:val="28"/>
          <w:szCs w:val="28"/>
        </w:rPr>
        <w:t>Regulatory Considerations:</w:t>
      </w:r>
      <w:r w:rsidRPr="006C5DA5">
        <w:rPr>
          <w:rFonts w:ascii="Arial" w:hAnsi="Arial" w:cs="Arial"/>
          <w:sz w:val="28"/>
          <w:szCs w:val="28"/>
        </w:rPr>
        <w:t> Regulatory compliance can impact earnings and, consequently, the P/E ratio. Banks facing regulatory challenges might have lower P/E ratios due to reduced earnings expectations.</w:t>
      </w:r>
    </w:p>
    <w:p w14:paraId="17FA29BF" w14:textId="77777777" w:rsidR="005014EA" w:rsidRDefault="005014EA" w:rsidP="006C5DA5">
      <w:pPr>
        <w:rPr>
          <w:rFonts w:ascii="Arial" w:hAnsi="Arial" w:cs="Arial"/>
          <w:b/>
          <w:bCs/>
          <w:sz w:val="28"/>
          <w:szCs w:val="28"/>
        </w:rPr>
      </w:pPr>
    </w:p>
    <w:p w14:paraId="379B78FB" w14:textId="77777777" w:rsidR="005014EA" w:rsidRDefault="005014EA" w:rsidP="006C5DA5">
      <w:pPr>
        <w:rPr>
          <w:rFonts w:ascii="Arial" w:hAnsi="Arial" w:cs="Arial"/>
          <w:b/>
          <w:bCs/>
          <w:sz w:val="28"/>
          <w:szCs w:val="28"/>
        </w:rPr>
      </w:pPr>
    </w:p>
    <w:p w14:paraId="730C66F8" w14:textId="77777777" w:rsidR="005014EA" w:rsidRDefault="005014EA" w:rsidP="006C5DA5">
      <w:pPr>
        <w:rPr>
          <w:rFonts w:ascii="Arial" w:hAnsi="Arial" w:cs="Arial"/>
          <w:b/>
          <w:bCs/>
          <w:sz w:val="28"/>
          <w:szCs w:val="28"/>
        </w:rPr>
      </w:pPr>
    </w:p>
    <w:p w14:paraId="033E9CE1" w14:textId="77777777" w:rsidR="005014EA" w:rsidRDefault="005014EA" w:rsidP="006C5DA5">
      <w:pPr>
        <w:rPr>
          <w:rFonts w:ascii="Arial" w:hAnsi="Arial" w:cs="Arial"/>
          <w:b/>
          <w:bCs/>
          <w:sz w:val="28"/>
          <w:szCs w:val="28"/>
        </w:rPr>
      </w:pPr>
    </w:p>
    <w:p w14:paraId="1D4034C8" w14:textId="77777777" w:rsidR="005014EA" w:rsidRDefault="005014EA" w:rsidP="006C5DA5">
      <w:pPr>
        <w:rPr>
          <w:rFonts w:ascii="Arial" w:hAnsi="Arial" w:cs="Arial"/>
          <w:b/>
          <w:bCs/>
          <w:sz w:val="28"/>
          <w:szCs w:val="28"/>
        </w:rPr>
      </w:pPr>
    </w:p>
    <w:p w14:paraId="6894AAE7" w14:textId="6E0A53DD" w:rsidR="006C5DA5" w:rsidRPr="005014EA" w:rsidRDefault="006C5DA5" w:rsidP="006C5DA5">
      <w:pPr>
        <w:rPr>
          <w:rFonts w:ascii="Arial" w:hAnsi="Arial" w:cs="Arial"/>
          <w:sz w:val="28"/>
          <w:szCs w:val="28"/>
        </w:rPr>
      </w:pPr>
      <w:r w:rsidRPr="005014EA">
        <w:rPr>
          <w:rFonts w:ascii="Arial" w:hAnsi="Arial" w:cs="Arial"/>
          <w:b/>
          <w:bCs/>
          <w:sz w:val="28"/>
          <w:szCs w:val="28"/>
        </w:rPr>
        <w:lastRenderedPageBreak/>
        <w:t>Graph 6:</w:t>
      </w:r>
      <w:r w:rsidRPr="005014EA">
        <w:rPr>
          <w:rFonts w:ascii="Arial" w:hAnsi="Arial" w:cs="Arial"/>
          <w:sz w:val="28"/>
          <w:szCs w:val="28"/>
        </w:rPr>
        <w:t xml:space="preserve"> Market Capitalization of Major US Banks (2024):</w:t>
      </w:r>
    </w:p>
    <w:p w14:paraId="45C7D3C3" w14:textId="3E183645" w:rsidR="006C5DA5" w:rsidRPr="005014EA" w:rsidRDefault="006C5DA5" w:rsidP="006C5DA5">
      <w:pPr>
        <w:rPr>
          <w:rFonts w:ascii="Arial" w:hAnsi="Arial" w:cs="Arial"/>
          <w:sz w:val="28"/>
          <w:szCs w:val="28"/>
        </w:rPr>
      </w:pPr>
      <w:r w:rsidRPr="005014EA">
        <w:rPr>
          <w:rFonts w:ascii="Arial" w:hAnsi="Arial" w:cs="Arial"/>
          <w:noProof/>
          <w:sz w:val="28"/>
          <w:szCs w:val="28"/>
        </w:rPr>
        <w:drawing>
          <wp:inline distT="0" distB="0" distL="0" distR="0" wp14:anchorId="2152D9A0" wp14:editId="2B173298">
            <wp:extent cx="5731510" cy="3416300"/>
            <wp:effectExtent l="0" t="0" r="2540" b="0"/>
            <wp:docPr id="528874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r w:rsidRPr="005014EA">
        <w:rPr>
          <w:rFonts w:ascii="Arial" w:hAnsi="Arial" w:cs="Arial"/>
          <w:b/>
          <w:bCs/>
          <w:sz w:val="28"/>
          <w:szCs w:val="28"/>
        </w:rPr>
        <w:t>Inference:</w:t>
      </w:r>
    </w:p>
    <w:p w14:paraId="1E13ABBF" w14:textId="77777777" w:rsidR="006C5DA5" w:rsidRPr="006C5DA5" w:rsidRDefault="006C5DA5" w:rsidP="006C5DA5">
      <w:pPr>
        <w:numPr>
          <w:ilvl w:val="0"/>
          <w:numId w:val="11"/>
        </w:numPr>
        <w:rPr>
          <w:rFonts w:ascii="Arial" w:hAnsi="Arial" w:cs="Arial"/>
          <w:sz w:val="28"/>
          <w:szCs w:val="28"/>
        </w:rPr>
      </w:pPr>
      <w:r w:rsidRPr="006C5DA5">
        <w:rPr>
          <w:rFonts w:ascii="Arial" w:hAnsi="Arial" w:cs="Arial"/>
          <w:b/>
          <w:bCs/>
          <w:sz w:val="28"/>
          <w:szCs w:val="28"/>
        </w:rPr>
        <w:t>Size and Scale:</w:t>
      </w:r>
      <w:r w:rsidRPr="006C5DA5">
        <w:rPr>
          <w:rFonts w:ascii="Arial" w:hAnsi="Arial" w:cs="Arial"/>
          <w:sz w:val="28"/>
          <w:szCs w:val="28"/>
        </w:rPr>
        <w:t> Market capitalization represents the total market value of a bank's outstanding shares. Larger market caps indicate bigger, more established banks.</w:t>
      </w:r>
    </w:p>
    <w:p w14:paraId="73B071EF" w14:textId="77777777" w:rsidR="006C5DA5" w:rsidRPr="006C5DA5" w:rsidRDefault="006C5DA5" w:rsidP="006C5DA5">
      <w:pPr>
        <w:numPr>
          <w:ilvl w:val="0"/>
          <w:numId w:val="11"/>
        </w:numPr>
        <w:rPr>
          <w:rFonts w:ascii="Arial" w:hAnsi="Arial" w:cs="Arial"/>
          <w:sz w:val="28"/>
          <w:szCs w:val="28"/>
        </w:rPr>
      </w:pPr>
      <w:r w:rsidRPr="006C5DA5">
        <w:rPr>
          <w:rFonts w:ascii="Arial" w:hAnsi="Arial" w:cs="Arial"/>
          <w:b/>
          <w:bCs/>
          <w:sz w:val="28"/>
          <w:szCs w:val="28"/>
        </w:rPr>
        <w:t>Investor Confidence:</w:t>
      </w:r>
      <w:r w:rsidRPr="006C5DA5">
        <w:rPr>
          <w:rFonts w:ascii="Arial" w:hAnsi="Arial" w:cs="Arial"/>
          <w:sz w:val="28"/>
          <w:szCs w:val="28"/>
        </w:rPr>
        <w:t> Higher market capitalization can reflect greater investor confidence, which can be influenced by effective compliance and CRM practices.</w:t>
      </w:r>
    </w:p>
    <w:p w14:paraId="530FDCD4" w14:textId="77777777" w:rsidR="006C5DA5" w:rsidRPr="006C5DA5" w:rsidRDefault="006C5DA5" w:rsidP="006C5DA5">
      <w:pPr>
        <w:numPr>
          <w:ilvl w:val="0"/>
          <w:numId w:val="11"/>
        </w:numPr>
        <w:rPr>
          <w:rFonts w:ascii="Arial" w:hAnsi="Arial" w:cs="Arial"/>
          <w:sz w:val="28"/>
          <w:szCs w:val="28"/>
        </w:rPr>
      </w:pPr>
      <w:r w:rsidRPr="006C5DA5">
        <w:rPr>
          <w:rFonts w:ascii="Arial" w:hAnsi="Arial" w:cs="Arial"/>
          <w:b/>
          <w:bCs/>
          <w:sz w:val="28"/>
          <w:szCs w:val="28"/>
        </w:rPr>
        <w:t>Comparative Analysis:</w:t>
      </w:r>
      <w:r w:rsidRPr="006C5DA5">
        <w:rPr>
          <w:rFonts w:ascii="Arial" w:hAnsi="Arial" w:cs="Arial"/>
          <w:sz w:val="28"/>
          <w:szCs w:val="28"/>
        </w:rPr>
        <w:t> Comparing market caps helps identify the relative size and market position of each bank, providing insights into their competitive standing.</w:t>
      </w:r>
    </w:p>
    <w:p w14:paraId="6EFECE35" w14:textId="77777777" w:rsidR="007F6B46" w:rsidRDefault="007F6B46" w:rsidP="00F66A99">
      <w:pPr>
        <w:rPr>
          <w:rFonts w:ascii="Arial" w:hAnsi="Arial" w:cs="Arial"/>
          <w:b/>
          <w:bCs/>
          <w:sz w:val="28"/>
          <w:szCs w:val="28"/>
        </w:rPr>
      </w:pPr>
    </w:p>
    <w:p w14:paraId="023E557F" w14:textId="77777777" w:rsidR="007F6B46" w:rsidRDefault="007F6B46" w:rsidP="00F66A99">
      <w:pPr>
        <w:rPr>
          <w:rFonts w:ascii="Arial" w:hAnsi="Arial" w:cs="Arial"/>
          <w:b/>
          <w:bCs/>
          <w:sz w:val="28"/>
          <w:szCs w:val="28"/>
        </w:rPr>
      </w:pPr>
    </w:p>
    <w:p w14:paraId="5CDA3352" w14:textId="77777777" w:rsidR="007F6B46" w:rsidRDefault="007F6B46" w:rsidP="00F66A99">
      <w:pPr>
        <w:rPr>
          <w:rFonts w:ascii="Arial" w:hAnsi="Arial" w:cs="Arial"/>
          <w:b/>
          <w:bCs/>
          <w:sz w:val="28"/>
          <w:szCs w:val="28"/>
        </w:rPr>
      </w:pPr>
    </w:p>
    <w:p w14:paraId="3E9F040D" w14:textId="77777777" w:rsidR="007F6B46" w:rsidRDefault="007F6B46" w:rsidP="00F66A99">
      <w:pPr>
        <w:rPr>
          <w:rFonts w:ascii="Arial" w:hAnsi="Arial" w:cs="Arial"/>
          <w:b/>
          <w:bCs/>
          <w:sz w:val="28"/>
          <w:szCs w:val="28"/>
        </w:rPr>
      </w:pPr>
    </w:p>
    <w:p w14:paraId="2EC0E42D" w14:textId="77777777" w:rsidR="007F6B46" w:rsidRDefault="007F6B46" w:rsidP="00F66A99">
      <w:pPr>
        <w:rPr>
          <w:rFonts w:ascii="Arial" w:hAnsi="Arial" w:cs="Arial"/>
          <w:b/>
          <w:bCs/>
          <w:sz w:val="28"/>
          <w:szCs w:val="28"/>
        </w:rPr>
      </w:pPr>
    </w:p>
    <w:p w14:paraId="10926141" w14:textId="77777777" w:rsidR="007F6B46" w:rsidRDefault="007F6B46" w:rsidP="00F66A99">
      <w:pPr>
        <w:rPr>
          <w:rFonts w:ascii="Arial" w:hAnsi="Arial" w:cs="Arial"/>
          <w:b/>
          <w:bCs/>
          <w:sz w:val="28"/>
          <w:szCs w:val="28"/>
        </w:rPr>
      </w:pPr>
    </w:p>
    <w:p w14:paraId="3C882302" w14:textId="77777777" w:rsidR="007F6B46" w:rsidRDefault="007F6B46" w:rsidP="00F66A99">
      <w:pPr>
        <w:rPr>
          <w:rFonts w:ascii="Arial" w:hAnsi="Arial" w:cs="Arial"/>
          <w:b/>
          <w:bCs/>
          <w:sz w:val="28"/>
          <w:szCs w:val="28"/>
        </w:rPr>
      </w:pPr>
    </w:p>
    <w:p w14:paraId="5C618C83" w14:textId="77777777" w:rsidR="007F6B46" w:rsidRDefault="007F6B46" w:rsidP="00F66A99">
      <w:pPr>
        <w:rPr>
          <w:rFonts w:ascii="Arial" w:hAnsi="Arial" w:cs="Arial"/>
          <w:b/>
          <w:bCs/>
          <w:sz w:val="28"/>
          <w:szCs w:val="28"/>
        </w:rPr>
      </w:pPr>
    </w:p>
    <w:p w14:paraId="3523F2D1" w14:textId="3FEF5A21" w:rsidR="00F66A99" w:rsidRPr="005014EA" w:rsidRDefault="00F66A99" w:rsidP="00F66A99">
      <w:pPr>
        <w:rPr>
          <w:rFonts w:ascii="Arial" w:hAnsi="Arial" w:cs="Arial"/>
          <w:sz w:val="28"/>
          <w:szCs w:val="28"/>
        </w:rPr>
      </w:pPr>
      <w:r w:rsidRPr="005014EA">
        <w:rPr>
          <w:rFonts w:ascii="Arial" w:hAnsi="Arial" w:cs="Arial"/>
          <w:b/>
          <w:bCs/>
          <w:sz w:val="28"/>
          <w:szCs w:val="28"/>
        </w:rPr>
        <w:lastRenderedPageBreak/>
        <w:t>Graph 7:</w:t>
      </w:r>
      <w:r w:rsidRPr="005014EA">
        <w:rPr>
          <w:rFonts w:ascii="Arial" w:hAnsi="Arial" w:cs="Arial"/>
          <w:sz w:val="28"/>
          <w:szCs w:val="28"/>
        </w:rPr>
        <w:t xml:space="preserve"> Return on Equity (ROE) of Major US Banks (2024):</w:t>
      </w:r>
    </w:p>
    <w:p w14:paraId="321C8245" w14:textId="55697426" w:rsidR="00F66A99" w:rsidRPr="005014EA" w:rsidRDefault="00F66A99" w:rsidP="00F66A99">
      <w:pPr>
        <w:rPr>
          <w:rFonts w:ascii="Arial" w:hAnsi="Arial" w:cs="Arial"/>
          <w:sz w:val="28"/>
          <w:szCs w:val="28"/>
        </w:rPr>
      </w:pPr>
      <w:r w:rsidRPr="005014EA">
        <w:rPr>
          <w:rFonts w:ascii="Arial" w:hAnsi="Arial" w:cs="Arial"/>
          <w:noProof/>
          <w:sz w:val="28"/>
          <w:szCs w:val="28"/>
        </w:rPr>
        <w:drawing>
          <wp:inline distT="0" distB="0" distL="0" distR="0" wp14:anchorId="121701E6" wp14:editId="54D3B180">
            <wp:extent cx="5731510" cy="3162300"/>
            <wp:effectExtent l="0" t="0" r="2540" b="0"/>
            <wp:docPr id="2120178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2300"/>
                    </a:xfrm>
                    <a:prstGeom prst="rect">
                      <a:avLst/>
                    </a:prstGeom>
                    <a:noFill/>
                    <a:ln>
                      <a:noFill/>
                    </a:ln>
                  </pic:spPr>
                </pic:pic>
              </a:graphicData>
            </a:graphic>
          </wp:inline>
        </w:drawing>
      </w:r>
      <w:r w:rsidRPr="005014EA">
        <w:rPr>
          <w:rFonts w:ascii="Arial" w:hAnsi="Arial" w:cs="Arial"/>
          <w:b/>
          <w:bCs/>
          <w:sz w:val="28"/>
          <w:szCs w:val="28"/>
        </w:rPr>
        <w:t>Inference:</w:t>
      </w:r>
    </w:p>
    <w:p w14:paraId="0ABE70FA" w14:textId="77777777" w:rsidR="00F66A99" w:rsidRPr="00F66A99" w:rsidRDefault="00F66A99" w:rsidP="00F66A99">
      <w:pPr>
        <w:numPr>
          <w:ilvl w:val="0"/>
          <w:numId w:val="12"/>
        </w:numPr>
        <w:rPr>
          <w:rFonts w:ascii="Arial" w:hAnsi="Arial" w:cs="Arial"/>
          <w:sz w:val="28"/>
          <w:szCs w:val="28"/>
        </w:rPr>
      </w:pPr>
      <w:r w:rsidRPr="00F66A99">
        <w:rPr>
          <w:rFonts w:ascii="Arial" w:hAnsi="Arial" w:cs="Arial"/>
          <w:b/>
          <w:bCs/>
          <w:sz w:val="28"/>
          <w:szCs w:val="28"/>
        </w:rPr>
        <w:t>Profitability Measure:</w:t>
      </w:r>
      <w:r w:rsidRPr="00F66A99">
        <w:rPr>
          <w:rFonts w:ascii="Arial" w:hAnsi="Arial" w:cs="Arial"/>
          <w:sz w:val="28"/>
          <w:szCs w:val="28"/>
        </w:rPr>
        <w:t> ROE measures how effectively a bank is using its equity to generate profits. Higher ROE indicates better financial performance and efficient use of equity.</w:t>
      </w:r>
    </w:p>
    <w:p w14:paraId="4700ED7A" w14:textId="77777777" w:rsidR="00F66A99" w:rsidRPr="00F66A99" w:rsidRDefault="00F66A99" w:rsidP="00F66A99">
      <w:pPr>
        <w:numPr>
          <w:ilvl w:val="0"/>
          <w:numId w:val="12"/>
        </w:numPr>
        <w:rPr>
          <w:rFonts w:ascii="Arial" w:hAnsi="Arial" w:cs="Arial"/>
          <w:sz w:val="28"/>
          <w:szCs w:val="28"/>
        </w:rPr>
      </w:pPr>
      <w:r w:rsidRPr="00F66A99">
        <w:rPr>
          <w:rFonts w:ascii="Arial" w:hAnsi="Arial" w:cs="Arial"/>
          <w:b/>
          <w:bCs/>
          <w:sz w:val="28"/>
          <w:szCs w:val="28"/>
        </w:rPr>
        <w:t>CRM Impact:</w:t>
      </w:r>
      <w:r w:rsidRPr="00F66A99">
        <w:rPr>
          <w:rFonts w:ascii="Arial" w:hAnsi="Arial" w:cs="Arial"/>
          <w:sz w:val="28"/>
          <w:szCs w:val="28"/>
        </w:rPr>
        <w:t> Effective CRM practices can enhance profitability by improving customer retention and satisfaction, leading to higher ROE.</w:t>
      </w:r>
    </w:p>
    <w:p w14:paraId="09A3462D" w14:textId="77777777" w:rsidR="00F66A99" w:rsidRPr="00F66A99" w:rsidRDefault="00F66A99" w:rsidP="00F66A99">
      <w:pPr>
        <w:numPr>
          <w:ilvl w:val="0"/>
          <w:numId w:val="12"/>
        </w:numPr>
        <w:rPr>
          <w:rFonts w:ascii="Arial" w:hAnsi="Arial" w:cs="Arial"/>
          <w:sz w:val="28"/>
          <w:szCs w:val="28"/>
        </w:rPr>
      </w:pPr>
      <w:r w:rsidRPr="00F66A99">
        <w:rPr>
          <w:rFonts w:ascii="Arial" w:hAnsi="Arial" w:cs="Arial"/>
          <w:b/>
          <w:bCs/>
          <w:sz w:val="28"/>
          <w:szCs w:val="28"/>
        </w:rPr>
        <w:t>Regulatory Influence:</w:t>
      </w:r>
      <w:r w:rsidRPr="00F66A99">
        <w:rPr>
          <w:rFonts w:ascii="Arial" w:hAnsi="Arial" w:cs="Arial"/>
          <w:sz w:val="28"/>
          <w:szCs w:val="28"/>
        </w:rPr>
        <w:t> Compliance with regulatory requirements can impact profitability. Banks that manage to comply efficiently without incurring excessive costs might exhibit higher ROE.</w:t>
      </w:r>
    </w:p>
    <w:p w14:paraId="4B5AEEE6" w14:textId="77777777" w:rsidR="007F6B46" w:rsidRDefault="007F6B46" w:rsidP="00F66A99">
      <w:pPr>
        <w:rPr>
          <w:rFonts w:ascii="Arial" w:hAnsi="Arial" w:cs="Arial"/>
          <w:b/>
          <w:bCs/>
          <w:sz w:val="28"/>
          <w:szCs w:val="28"/>
        </w:rPr>
      </w:pPr>
    </w:p>
    <w:p w14:paraId="5D313919" w14:textId="77777777" w:rsidR="007F6B46" w:rsidRDefault="007F6B46" w:rsidP="00F66A99">
      <w:pPr>
        <w:rPr>
          <w:rFonts w:ascii="Arial" w:hAnsi="Arial" w:cs="Arial"/>
          <w:b/>
          <w:bCs/>
          <w:sz w:val="28"/>
          <w:szCs w:val="28"/>
        </w:rPr>
      </w:pPr>
    </w:p>
    <w:p w14:paraId="729E9017" w14:textId="77777777" w:rsidR="007F6B46" w:rsidRDefault="007F6B46" w:rsidP="00F66A99">
      <w:pPr>
        <w:rPr>
          <w:rFonts w:ascii="Arial" w:hAnsi="Arial" w:cs="Arial"/>
          <w:b/>
          <w:bCs/>
          <w:sz w:val="28"/>
          <w:szCs w:val="28"/>
        </w:rPr>
      </w:pPr>
    </w:p>
    <w:p w14:paraId="5EA60767" w14:textId="77777777" w:rsidR="007F6B46" w:rsidRDefault="007F6B46" w:rsidP="00F66A99">
      <w:pPr>
        <w:rPr>
          <w:rFonts w:ascii="Arial" w:hAnsi="Arial" w:cs="Arial"/>
          <w:b/>
          <w:bCs/>
          <w:sz w:val="28"/>
          <w:szCs w:val="28"/>
        </w:rPr>
      </w:pPr>
    </w:p>
    <w:p w14:paraId="46ECF4CA" w14:textId="77777777" w:rsidR="007F6B46" w:rsidRDefault="007F6B46" w:rsidP="00F66A99">
      <w:pPr>
        <w:rPr>
          <w:rFonts w:ascii="Arial" w:hAnsi="Arial" w:cs="Arial"/>
          <w:b/>
          <w:bCs/>
          <w:sz w:val="28"/>
          <w:szCs w:val="28"/>
        </w:rPr>
      </w:pPr>
    </w:p>
    <w:p w14:paraId="0EAE3AAE" w14:textId="77777777" w:rsidR="007F6B46" w:rsidRDefault="007F6B46" w:rsidP="00F66A99">
      <w:pPr>
        <w:rPr>
          <w:rFonts w:ascii="Arial" w:hAnsi="Arial" w:cs="Arial"/>
          <w:b/>
          <w:bCs/>
          <w:sz w:val="28"/>
          <w:szCs w:val="28"/>
        </w:rPr>
      </w:pPr>
    </w:p>
    <w:p w14:paraId="29F36A72" w14:textId="77777777" w:rsidR="007F6B46" w:rsidRDefault="007F6B46" w:rsidP="00F66A99">
      <w:pPr>
        <w:rPr>
          <w:rFonts w:ascii="Arial" w:hAnsi="Arial" w:cs="Arial"/>
          <w:b/>
          <w:bCs/>
          <w:sz w:val="28"/>
          <w:szCs w:val="28"/>
        </w:rPr>
      </w:pPr>
    </w:p>
    <w:p w14:paraId="7D16D314" w14:textId="77777777" w:rsidR="007F6B46" w:rsidRDefault="007F6B46" w:rsidP="00F66A99">
      <w:pPr>
        <w:rPr>
          <w:rFonts w:ascii="Arial" w:hAnsi="Arial" w:cs="Arial"/>
          <w:b/>
          <w:bCs/>
          <w:sz w:val="28"/>
          <w:szCs w:val="28"/>
        </w:rPr>
      </w:pPr>
    </w:p>
    <w:p w14:paraId="2CCD7440" w14:textId="52F78785" w:rsidR="001F556E" w:rsidRPr="005014EA" w:rsidRDefault="00F66A99" w:rsidP="00F66A99">
      <w:pPr>
        <w:rPr>
          <w:rFonts w:ascii="Arial" w:hAnsi="Arial" w:cs="Arial"/>
          <w:sz w:val="28"/>
          <w:szCs w:val="28"/>
        </w:rPr>
      </w:pPr>
      <w:r w:rsidRPr="005014EA">
        <w:rPr>
          <w:rFonts w:ascii="Arial" w:hAnsi="Arial" w:cs="Arial"/>
          <w:b/>
          <w:bCs/>
          <w:sz w:val="28"/>
          <w:szCs w:val="28"/>
        </w:rPr>
        <w:lastRenderedPageBreak/>
        <w:t>Graph 8:</w:t>
      </w:r>
      <w:r w:rsidRPr="005014EA">
        <w:rPr>
          <w:rFonts w:ascii="Arial" w:hAnsi="Arial" w:cs="Arial"/>
          <w:sz w:val="28"/>
          <w:szCs w:val="28"/>
        </w:rPr>
        <w:t xml:space="preserve"> </w:t>
      </w:r>
      <w:r w:rsidR="001F556E" w:rsidRPr="005014EA">
        <w:rPr>
          <w:rFonts w:ascii="Arial" w:hAnsi="Arial" w:cs="Arial"/>
          <w:sz w:val="28"/>
          <w:szCs w:val="28"/>
        </w:rPr>
        <w:t>Net Interest Margin (NIM) of Major US Banks (2024):</w:t>
      </w:r>
    </w:p>
    <w:p w14:paraId="4AF23ED6" w14:textId="7BAF9EA6" w:rsidR="005014EA" w:rsidRPr="005014EA" w:rsidRDefault="001F556E" w:rsidP="005014EA">
      <w:pPr>
        <w:rPr>
          <w:rFonts w:ascii="Arial" w:hAnsi="Arial" w:cs="Arial"/>
          <w:sz w:val="28"/>
          <w:szCs w:val="28"/>
        </w:rPr>
      </w:pPr>
      <w:r w:rsidRPr="005014EA">
        <w:rPr>
          <w:rFonts w:ascii="Arial" w:hAnsi="Arial" w:cs="Arial"/>
          <w:noProof/>
          <w:sz w:val="28"/>
          <w:szCs w:val="28"/>
        </w:rPr>
        <w:drawing>
          <wp:inline distT="0" distB="0" distL="0" distR="0" wp14:anchorId="4C5FD105" wp14:editId="7B282845">
            <wp:extent cx="5731510" cy="3219450"/>
            <wp:effectExtent l="0" t="0" r="2540" b="0"/>
            <wp:docPr id="15580287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r w:rsidR="005014EA" w:rsidRPr="005014EA">
        <w:rPr>
          <w:rFonts w:ascii="Arial" w:hAnsi="Arial" w:cs="Arial"/>
          <w:b/>
          <w:bCs/>
          <w:sz w:val="28"/>
          <w:szCs w:val="28"/>
        </w:rPr>
        <w:t>Inference:</w:t>
      </w:r>
    </w:p>
    <w:p w14:paraId="4A6184B0" w14:textId="77777777" w:rsidR="005014EA" w:rsidRPr="005014EA" w:rsidRDefault="005014EA" w:rsidP="005014EA">
      <w:pPr>
        <w:numPr>
          <w:ilvl w:val="0"/>
          <w:numId w:val="13"/>
        </w:numPr>
        <w:rPr>
          <w:rFonts w:ascii="Arial" w:hAnsi="Arial" w:cs="Arial"/>
          <w:sz w:val="28"/>
          <w:szCs w:val="28"/>
        </w:rPr>
      </w:pPr>
      <w:r w:rsidRPr="005014EA">
        <w:rPr>
          <w:rFonts w:ascii="Arial" w:hAnsi="Arial" w:cs="Arial"/>
          <w:b/>
          <w:bCs/>
          <w:sz w:val="28"/>
          <w:szCs w:val="28"/>
        </w:rPr>
        <w:t>Interest Income Efficiency:</w:t>
      </w:r>
      <w:r w:rsidRPr="005014EA">
        <w:rPr>
          <w:rFonts w:ascii="Arial" w:hAnsi="Arial" w:cs="Arial"/>
          <w:sz w:val="28"/>
          <w:szCs w:val="28"/>
        </w:rPr>
        <w:t> NIM measures the difference between the interest income generated and the interest paid out. Higher NIM indicates better efficiency in generating interest income.</w:t>
      </w:r>
    </w:p>
    <w:p w14:paraId="1A2C31D3" w14:textId="77777777" w:rsidR="005014EA" w:rsidRPr="005014EA" w:rsidRDefault="005014EA" w:rsidP="005014EA">
      <w:pPr>
        <w:numPr>
          <w:ilvl w:val="0"/>
          <w:numId w:val="13"/>
        </w:numPr>
        <w:rPr>
          <w:rFonts w:ascii="Arial" w:hAnsi="Arial" w:cs="Arial"/>
          <w:sz w:val="28"/>
          <w:szCs w:val="28"/>
        </w:rPr>
      </w:pPr>
      <w:r w:rsidRPr="005014EA">
        <w:rPr>
          <w:rFonts w:ascii="Arial" w:hAnsi="Arial" w:cs="Arial"/>
          <w:b/>
          <w:bCs/>
          <w:sz w:val="28"/>
          <w:szCs w:val="28"/>
        </w:rPr>
        <w:t>Regulatory Impact:</w:t>
      </w:r>
      <w:r w:rsidRPr="005014EA">
        <w:rPr>
          <w:rFonts w:ascii="Arial" w:hAnsi="Arial" w:cs="Arial"/>
          <w:sz w:val="28"/>
          <w:szCs w:val="28"/>
        </w:rPr>
        <w:t> Regulatory policies can influence NIM by affecting interest rates and lending practices. Banks that navigate regulatory environments effectively might maintain higher NIM.</w:t>
      </w:r>
    </w:p>
    <w:p w14:paraId="2C8035FC" w14:textId="4F899762" w:rsidR="005014EA" w:rsidRPr="005014EA" w:rsidRDefault="005014EA" w:rsidP="005014EA">
      <w:pPr>
        <w:numPr>
          <w:ilvl w:val="0"/>
          <w:numId w:val="13"/>
        </w:numPr>
        <w:rPr>
          <w:rFonts w:ascii="Arial" w:hAnsi="Arial" w:cs="Arial"/>
          <w:sz w:val="28"/>
          <w:szCs w:val="28"/>
        </w:rPr>
      </w:pPr>
      <w:r w:rsidRPr="005014EA">
        <w:rPr>
          <w:rFonts w:ascii="Arial" w:hAnsi="Arial" w:cs="Arial"/>
          <w:b/>
          <w:bCs/>
          <w:sz w:val="28"/>
          <w:szCs w:val="28"/>
        </w:rPr>
        <w:t>CRM Influence:</w:t>
      </w:r>
      <w:r w:rsidRPr="005014EA">
        <w:rPr>
          <w:rFonts w:ascii="Arial" w:hAnsi="Arial" w:cs="Arial"/>
          <w:sz w:val="28"/>
          <w:szCs w:val="28"/>
        </w:rPr>
        <w:t> Strong CRM practices can lead to better customer relationships, potentially resulting in more favourable lending terms and higher NIM.</w:t>
      </w:r>
    </w:p>
    <w:p w14:paraId="28DB9913" w14:textId="77777777" w:rsidR="005014EA" w:rsidRPr="007F6B46" w:rsidRDefault="005014EA">
      <w:pPr>
        <w:rPr>
          <w:rFonts w:ascii="Arial" w:hAnsi="Arial" w:cs="Arial"/>
          <w:b/>
          <w:bCs/>
          <w:sz w:val="28"/>
          <w:szCs w:val="28"/>
          <w:shd w:val="clear" w:color="auto" w:fill="FFFFFF"/>
        </w:rPr>
      </w:pPr>
    </w:p>
    <w:p w14:paraId="6D4DDC35" w14:textId="77777777" w:rsidR="007F6B46" w:rsidRDefault="007F6B46">
      <w:pPr>
        <w:rPr>
          <w:rFonts w:ascii="Arial" w:hAnsi="Arial" w:cs="Arial"/>
          <w:b/>
          <w:bCs/>
          <w:sz w:val="28"/>
          <w:szCs w:val="28"/>
          <w:shd w:val="clear" w:color="auto" w:fill="FFFFFF"/>
        </w:rPr>
      </w:pPr>
    </w:p>
    <w:p w14:paraId="7D13BA02" w14:textId="77777777" w:rsidR="007F6B46" w:rsidRDefault="007F6B46">
      <w:pPr>
        <w:rPr>
          <w:rFonts w:ascii="Arial" w:hAnsi="Arial" w:cs="Arial"/>
          <w:b/>
          <w:bCs/>
          <w:sz w:val="28"/>
          <w:szCs w:val="28"/>
          <w:shd w:val="clear" w:color="auto" w:fill="FFFFFF"/>
        </w:rPr>
      </w:pPr>
    </w:p>
    <w:p w14:paraId="738C3D3C" w14:textId="77777777" w:rsidR="007F6B46" w:rsidRDefault="007F6B46">
      <w:pPr>
        <w:rPr>
          <w:rFonts w:ascii="Arial" w:hAnsi="Arial" w:cs="Arial"/>
          <w:b/>
          <w:bCs/>
          <w:sz w:val="28"/>
          <w:szCs w:val="28"/>
          <w:shd w:val="clear" w:color="auto" w:fill="FFFFFF"/>
        </w:rPr>
      </w:pPr>
    </w:p>
    <w:p w14:paraId="7BD471E1" w14:textId="77777777" w:rsidR="007F6B46" w:rsidRDefault="007F6B46">
      <w:pPr>
        <w:rPr>
          <w:rFonts w:ascii="Arial" w:hAnsi="Arial" w:cs="Arial"/>
          <w:b/>
          <w:bCs/>
          <w:sz w:val="28"/>
          <w:szCs w:val="28"/>
          <w:shd w:val="clear" w:color="auto" w:fill="FFFFFF"/>
        </w:rPr>
      </w:pPr>
    </w:p>
    <w:p w14:paraId="4B64B9AC" w14:textId="77777777" w:rsidR="007F6B46" w:rsidRDefault="007F6B46">
      <w:pPr>
        <w:rPr>
          <w:rFonts w:ascii="Arial" w:hAnsi="Arial" w:cs="Arial"/>
          <w:b/>
          <w:bCs/>
          <w:sz w:val="28"/>
          <w:szCs w:val="28"/>
          <w:shd w:val="clear" w:color="auto" w:fill="FFFFFF"/>
        </w:rPr>
      </w:pPr>
    </w:p>
    <w:p w14:paraId="4E65529C" w14:textId="77777777" w:rsidR="00A7094A" w:rsidRDefault="00A7094A">
      <w:pPr>
        <w:rPr>
          <w:rFonts w:ascii="Arial" w:hAnsi="Arial" w:cs="Arial"/>
          <w:b/>
          <w:bCs/>
          <w:sz w:val="28"/>
          <w:szCs w:val="28"/>
          <w:shd w:val="clear" w:color="auto" w:fill="FFFFFF"/>
        </w:rPr>
      </w:pPr>
    </w:p>
    <w:p w14:paraId="4D626C54" w14:textId="77777777" w:rsidR="00A7094A" w:rsidRDefault="00A7094A">
      <w:pPr>
        <w:rPr>
          <w:rFonts w:ascii="Arial" w:hAnsi="Arial" w:cs="Arial"/>
          <w:b/>
          <w:bCs/>
          <w:sz w:val="28"/>
          <w:szCs w:val="28"/>
          <w:shd w:val="clear" w:color="auto" w:fill="FFFFFF"/>
        </w:rPr>
      </w:pPr>
    </w:p>
    <w:p w14:paraId="710D2FE6" w14:textId="295C1A1C" w:rsidR="005014EA" w:rsidRPr="007F6B46" w:rsidRDefault="005014EA">
      <w:pPr>
        <w:rPr>
          <w:rFonts w:ascii="Arial" w:hAnsi="Arial" w:cs="Arial"/>
          <w:b/>
          <w:bCs/>
          <w:sz w:val="28"/>
          <w:szCs w:val="28"/>
          <w:shd w:val="clear" w:color="auto" w:fill="FFFFFF"/>
        </w:rPr>
      </w:pPr>
      <w:r w:rsidRPr="007F6B46">
        <w:rPr>
          <w:rFonts w:ascii="Arial" w:hAnsi="Arial" w:cs="Arial"/>
          <w:b/>
          <w:bCs/>
          <w:sz w:val="28"/>
          <w:szCs w:val="28"/>
          <w:shd w:val="clear" w:color="auto" w:fill="FFFFFF"/>
        </w:rPr>
        <w:lastRenderedPageBreak/>
        <w:t>Conclusion:</w:t>
      </w:r>
    </w:p>
    <w:p w14:paraId="0E71E832" w14:textId="52831B5B" w:rsidR="005014EA" w:rsidRPr="007F6B46" w:rsidRDefault="005014EA">
      <w:pPr>
        <w:rPr>
          <w:rFonts w:ascii="Arial" w:hAnsi="Arial" w:cs="Arial"/>
          <w:b/>
          <w:bCs/>
          <w:sz w:val="28"/>
          <w:szCs w:val="28"/>
          <w:shd w:val="clear" w:color="auto" w:fill="FFFFFF"/>
        </w:rPr>
      </w:pPr>
      <w:r w:rsidRPr="007F6B46">
        <w:rPr>
          <w:rFonts w:ascii="Arial" w:hAnsi="Arial" w:cs="Arial"/>
          <w:sz w:val="28"/>
          <w:szCs w:val="28"/>
          <w:shd w:val="clear" w:color="auto" w:fill="FFFFFF"/>
        </w:rPr>
        <w:t>In the dynamic and highly regulated banking sector, the integration of robust compliance and regulatory frameworks with effective customer relationship management (CRM) strategies is paramount for sustainable success. Compliance and regulatory affairs ensure that banks operate within legal boundaries, maintain financial stability, and protect consumer interests, thereby fostering trust and integrity in the financial system. Concurrently, CRM practices enable banks to understand and meet customer needs, enhance satisfaction, and build loyalty, driving growth and competitive advantage. Together, these elements create a balanced approach where regulatory adherence supports a stable operational environment, while CRM initiatives cultivate strong, lasting customer relationships, ultimately contributing to the overall resilience and profitability of banks.</w:t>
      </w:r>
    </w:p>
    <w:sectPr w:rsidR="005014EA" w:rsidRPr="007F6B46" w:rsidSect="007F6B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3D1"/>
    <w:multiLevelType w:val="multilevel"/>
    <w:tmpl w:val="0DC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8254D"/>
    <w:multiLevelType w:val="multilevel"/>
    <w:tmpl w:val="559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75516"/>
    <w:multiLevelType w:val="multilevel"/>
    <w:tmpl w:val="F91E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E0A2E"/>
    <w:multiLevelType w:val="multilevel"/>
    <w:tmpl w:val="9496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D19DB"/>
    <w:multiLevelType w:val="multilevel"/>
    <w:tmpl w:val="5AB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C1D29"/>
    <w:multiLevelType w:val="hybridMultilevel"/>
    <w:tmpl w:val="C5142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187F73"/>
    <w:multiLevelType w:val="multilevel"/>
    <w:tmpl w:val="68CC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AE6245"/>
    <w:multiLevelType w:val="multilevel"/>
    <w:tmpl w:val="757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3D3C1C"/>
    <w:multiLevelType w:val="hybridMultilevel"/>
    <w:tmpl w:val="C0E47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88792B"/>
    <w:multiLevelType w:val="multilevel"/>
    <w:tmpl w:val="4C748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4181E"/>
    <w:multiLevelType w:val="hybridMultilevel"/>
    <w:tmpl w:val="5044B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A24EA1"/>
    <w:multiLevelType w:val="multilevel"/>
    <w:tmpl w:val="9E2A4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42C9C"/>
    <w:multiLevelType w:val="hybridMultilevel"/>
    <w:tmpl w:val="EAEA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2752E7"/>
    <w:multiLevelType w:val="multilevel"/>
    <w:tmpl w:val="4B6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725548">
    <w:abstractNumId w:val="9"/>
  </w:num>
  <w:num w:numId="2" w16cid:durableId="901671247">
    <w:abstractNumId w:val="11"/>
  </w:num>
  <w:num w:numId="3" w16cid:durableId="934435345">
    <w:abstractNumId w:val="12"/>
  </w:num>
  <w:num w:numId="4" w16cid:durableId="1501193591">
    <w:abstractNumId w:val="5"/>
  </w:num>
  <w:num w:numId="5" w16cid:durableId="1417824968">
    <w:abstractNumId w:val="10"/>
  </w:num>
  <w:num w:numId="6" w16cid:durableId="720176367">
    <w:abstractNumId w:val="7"/>
  </w:num>
  <w:num w:numId="7" w16cid:durableId="282661557">
    <w:abstractNumId w:val="0"/>
  </w:num>
  <w:num w:numId="8" w16cid:durableId="517281995">
    <w:abstractNumId w:val="4"/>
  </w:num>
  <w:num w:numId="9" w16cid:durableId="2068260285">
    <w:abstractNumId w:val="6"/>
  </w:num>
  <w:num w:numId="10" w16cid:durableId="545484473">
    <w:abstractNumId w:val="2"/>
  </w:num>
  <w:num w:numId="11" w16cid:durableId="1570726282">
    <w:abstractNumId w:val="3"/>
  </w:num>
  <w:num w:numId="12" w16cid:durableId="988631217">
    <w:abstractNumId w:val="1"/>
  </w:num>
  <w:num w:numId="13" w16cid:durableId="1804495887">
    <w:abstractNumId w:val="13"/>
  </w:num>
  <w:num w:numId="14" w16cid:durableId="1302004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68"/>
    <w:rsid w:val="00017AD2"/>
    <w:rsid w:val="00177E04"/>
    <w:rsid w:val="001E6A48"/>
    <w:rsid w:val="001F556E"/>
    <w:rsid w:val="00442021"/>
    <w:rsid w:val="005014EA"/>
    <w:rsid w:val="006C5DA5"/>
    <w:rsid w:val="007F6B46"/>
    <w:rsid w:val="00876CD3"/>
    <w:rsid w:val="00A7094A"/>
    <w:rsid w:val="00B212C1"/>
    <w:rsid w:val="00D16341"/>
    <w:rsid w:val="00D55168"/>
    <w:rsid w:val="00F4067C"/>
    <w:rsid w:val="00F66A99"/>
    <w:rsid w:val="00F84B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3D78"/>
  <w15:chartTrackingRefBased/>
  <w15:docId w15:val="{65947FE8-C1B0-47C9-814E-42E81047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40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68"/>
    <w:pPr>
      <w:ind w:left="720"/>
      <w:contextualSpacing/>
    </w:pPr>
  </w:style>
  <w:style w:type="character" w:styleId="Strong">
    <w:name w:val="Strong"/>
    <w:basedOn w:val="DefaultParagraphFont"/>
    <w:uiPriority w:val="22"/>
    <w:qFormat/>
    <w:rsid w:val="00017AD2"/>
    <w:rPr>
      <w:b/>
      <w:bCs/>
    </w:rPr>
  </w:style>
  <w:style w:type="character" w:customStyle="1" w:styleId="Heading3Char">
    <w:name w:val="Heading 3 Char"/>
    <w:basedOn w:val="DefaultParagraphFont"/>
    <w:link w:val="Heading3"/>
    <w:uiPriority w:val="9"/>
    <w:semiHidden/>
    <w:rsid w:val="00F406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2479">
      <w:bodyDiv w:val="1"/>
      <w:marLeft w:val="0"/>
      <w:marRight w:val="0"/>
      <w:marTop w:val="0"/>
      <w:marBottom w:val="0"/>
      <w:divBdr>
        <w:top w:val="none" w:sz="0" w:space="0" w:color="auto"/>
        <w:left w:val="none" w:sz="0" w:space="0" w:color="auto"/>
        <w:bottom w:val="none" w:sz="0" w:space="0" w:color="auto"/>
        <w:right w:val="none" w:sz="0" w:space="0" w:color="auto"/>
      </w:divBdr>
    </w:div>
    <w:div w:id="484203448">
      <w:bodyDiv w:val="1"/>
      <w:marLeft w:val="0"/>
      <w:marRight w:val="0"/>
      <w:marTop w:val="0"/>
      <w:marBottom w:val="0"/>
      <w:divBdr>
        <w:top w:val="none" w:sz="0" w:space="0" w:color="auto"/>
        <w:left w:val="none" w:sz="0" w:space="0" w:color="auto"/>
        <w:bottom w:val="none" w:sz="0" w:space="0" w:color="auto"/>
        <w:right w:val="none" w:sz="0" w:space="0" w:color="auto"/>
      </w:divBdr>
    </w:div>
    <w:div w:id="728454484">
      <w:bodyDiv w:val="1"/>
      <w:marLeft w:val="0"/>
      <w:marRight w:val="0"/>
      <w:marTop w:val="0"/>
      <w:marBottom w:val="0"/>
      <w:divBdr>
        <w:top w:val="none" w:sz="0" w:space="0" w:color="auto"/>
        <w:left w:val="none" w:sz="0" w:space="0" w:color="auto"/>
        <w:bottom w:val="none" w:sz="0" w:space="0" w:color="auto"/>
        <w:right w:val="none" w:sz="0" w:space="0" w:color="auto"/>
      </w:divBdr>
    </w:div>
    <w:div w:id="931429664">
      <w:bodyDiv w:val="1"/>
      <w:marLeft w:val="0"/>
      <w:marRight w:val="0"/>
      <w:marTop w:val="0"/>
      <w:marBottom w:val="0"/>
      <w:divBdr>
        <w:top w:val="none" w:sz="0" w:space="0" w:color="auto"/>
        <w:left w:val="none" w:sz="0" w:space="0" w:color="auto"/>
        <w:bottom w:val="none" w:sz="0" w:space="0" w:color="auto"/>
        <w:right w:val="none" w:sz="0" w:space="0" w:color="auto"/>
      </w:divBdr>
    </w:div>
    <w:div w:id="1098794981">
      <w:bodyDiv w:val="1"/>
      <w:marLeft w:val="0"/>
      <w:marRight w:val="0"/>
      <w:marTop w:val="0"/>
      <w:marBottom w:val="0"/>
      <w:divBdr>
        <w:top w:val="none" w:sz="0" w:space="0" w:color="auto"/>
        <w:left w:val="none" w:sz="0" w:space="0" w:color="auto"/>
        <w:bottom w:val="none" w:sz="0" w:space="0" w:color="auto"/>
        <w:right w:val="none" w:sz="0" w:space="0" w:color="auto"/>
      </w:divBdr>
    </w:div>
    <w:div w:id="1136802708">
      <w:bodyDiv w:val="1"/>
      <w:marLeft w:val="0"/>
      <w:marRight w:val="0"/>
      <w:marTop w:val="0"/>
      <w:marBottom w:val="0"/>
      <w:divBdr>
        <w:top w:val="none" w:sz="0" w:space="0" w:color="auto"/>
        <w:left w:val="none" w:sz="0" w:space="0" w:color="auto"/>
        <w:bottom w:val="none" w:sz="0" w:space="0" w:color="auto"/>
        <w:right w:val="none" w:sz="0" w:space="0" w:color="auto"/>
      </w:divBdr>
    </w:div>
    <w:div w:id="1320964681">
      <w:bodyDiv w:val="1"/>
      <w:marLeft w:val="0"/>
      <w:marRight w:val="0"/>
      <w:marTop w:val="0"/>
      <w:marBottom w:val="0"/>
      <w:divBdr>
        <w:top w:val="none" w:sz="0" w:space="0" w:color="auto"/>
        <w:left w:val="none" w:sz="0" w:space="0" w:color="auto"/>
        <w:bottom w:val="none" w:sz="0" w:space="0" w:color="auto"/>
        <w:right w:val="none" w:sz="0" w:space="0" w:color="auto"/>
      </w:divBdr>
    </w:div>
    <w:div w:id="1356730170">
      <w:bodyDiv w:val="1"/>
      <w:marLeft w:val="0"/>
      <w:marRight w:val="0"/>
      <w:marTop w:val="0"/>
      <w:marBottom w:val="0"/>
      <w:divBdr>
        <w:top w:val="none" w:sz="0" w:space="0" w:color="auto"/>
        <w:left w:val="none" w:sz="0" w:space="0" w:color="auto"/>
        <w:bottom w:val="none" w:sz="0" w:space="0" w:color="auto"/>
        <w:right w:val="none" w:sz="0" w:space="0" w:color="auto"/>
      </w:divBdr>
    </w:div>
    <w:div w:id="1479806168">
      <w:bodyDiv w:val="1"/>
      <w:marLeft w:val="0"/>
      <w:marRight w:val="0"/>
      <w:marTop w:val="0"/>
      <w:marBottom w:val="0"/>
      <w:divBdr>
        <w:top w:val="none" w:sz="0" w:space="0" w:color="auto"/>
        <w:left w:val="none" w:sz="0" w:space="0" w:color="auto"/>
        <w:bottom w:val="none" w:sz="0" w:space="0" w:color="auto"/>
        <w:right w:val="none" w:sz="0" w:space="0" w:color="auto"/>
      </w:divBdr>
    </w:div>
    <w:div w:id="1516067621">
      <w:bodyDiv w:val="1"/>
      <w:marLeft w:val="0"/>
      <w:marRight w:val="0"/>
      <w:marTop w:val="0"/>
      <w:marBottom w:val="0"/>
      <w:divBdr>
        <w:top w:val="none" w:sz="0" w:space="0" w:color="auto"/>
        <w:left w:val="none" w:sz="0" w:space="0" w:color="auto"/>
        <w:bottom w:val="none" w:sz="0" w:space="0" w:color="auto"/>
        <w:right w:val="none" w:sz="0" w:space="0" w:color="auto"/>
      </w:divBdr>
    </w:div>
    <w:div w:id="1557666312">
      <w:bodyDiv w:val="1"/>
      <w:marLeft w:val="0"/>
      <w:marRight w:val="0"/>
      <w:marTop w:val="0"/>
      <w:marBottom w:val="0"/>
      <w:divBdr>
        <w:top w:val="none" w:sz="0" w:space="0" w:color="auto"/>
        <w:left w:val="none" w:sz="0" w:space="0" w:color="auto"/>
        <w:bottom w:val="none" w:sz="0" w:space="0" w:color="auto"/>
        <w:right w:val="none" w:sz="0" w:space="0" w:color="auto"/>
      </w:divBdr>
    </w:div>
    <w:div w:id="1712924298">
      <w:bodyDiv w:val="1"/>
      <w:marLeft w:val="0"/>
      <w:marRight w:val="0"/>
      <w:marTop w:val="0"/>
      <w:marBottom w:val="0"/>
      <w:divBdr>
        <w:top w:val="none" w:sz="0" w:space="0" w:color="auto"/>
        <w:left w:val="none" w:sz="0" w:space="0" w:color="auto"/>
        <w:bottom w:val="none" w:sz="0" w:space="0" w:color="auto"/>
        <w:right w:val="none" w:sz="0" w:space="0" w:color="auto"/>
      </w:divBdr>
    </w:div>
    <w:div w:id="1751538444">
      <w:bodyDiv w:val="1"/>
      <w:marLeft w:val="0"/>
      <w:marRight w:val="0"/>
      <w:marTop w:val="0"/>
      <w:marBottom w:val="0"/>
      <w:divBdr>
        <w:top w:val="none" w:sz="0" w:space="0" w:color="auto"/>
        <w:left w:val="none" w:sz="0" w:space="0" w:color="auto"/>
        <w:bottom w:val="none" w:sz="0" w:space="0" w:color="auto"/>
        <w:right w:val="none" w:sz="0" w:space="0" w:color="auto"/>
      </w:divBdr>
    </w:div>
    <w:div w:id="1796369054">
      <w:bodyDiv w:val="1"/>
      <w:marLeft w:val="0"/>
      <w:marRight w:val="0"/>
      <w:marTop w:val="0"/>
      <w:marBottom w:val="0"/>
      <w:divBdr>
        <w:top w:val="none" w:sz="0" w:space="0" w:color="auto"/>
        <w:left w:val="none" w:sz="0" w:space="0" w:color="auto"/>
        <w:bottom w:val="none" w:sz="0" w:space="0" w:color="auto"/>
        <w:right w:val="none" w:sz="0" w:space="0" w:color="auto"/>
      </w:divBdr>
    </w:div>
    <w:div w:id="1834296255">
      <w:bodyDiv w:val="1"/>
      <w:marLeft w:val="0"/>
      <w:marRight w:val="0"/>
      <w:marTop w:val="0"/>
      <w:marBottom w:val="0"/>
      <w:divBdr>
        <w:top w:val="none" w:sz="0" w:space="0" w:color="auto"/>
        <w:left w:val="none" w:sz="0" w:space="0" w:color="auto"/>
        <w:bottom w:val="none" w:sz="0" w:space="0" w:color="auto"/>
        <w:right w:val="none" w:sz="0" w:space="0" w:color="auto"/>
      </w:divBdr>
    </w:div>
    <w:div w:id="1937981282">
      <w:bodyDiv w:val="1"/>
      <w:marLeft w:val="0"/>
      <w:marRight w:val="0"/>
      <w:marTop w:val="0"/>
      <w:marBottom w:val="0"/>
      <w:divBdr>
        <w:top w:val="none" w:sz="0" w:space="0" w:color="auto"/>
        <w:left w:val="none" w:sz="0" w:space="0" w:color="auto"/>
        <w:bottom w:val="none" w:sz="0" w:space="0" w:color="auto"/>
        <w:right w:val="none" w:sz="0" w:space="0" w:color="auto"/>
      </w:divBdr>
    </w:div>
    <w:div w:id="1995137188">
      <w:bodyDiv w:val="1"/>
      <w:marLeft w:val="0"/>
      <w:marRight w:val="0"/>
      <w:marTop w:val="0"/>
      <w:marBottom w:val="0"/>
      <w:divBdr>
        <w:top w:val="none" w:sz="0" w:space="0" w:color="auto"/>
        <w:left w:val="none" w:sz="0" w:space="0" w:color="auto"/>
        <w:bottom w:val="none" w:sz="0" w:space="0" w:color="auto"/>
        <w:right w:val="none" w:sz="0" w:space="0" w:color="auto"/>
      </w:divBdr>
    </w:div>
    <w:div w:id="2053269268">
      <w:bodyDiv w:val="1"/>
      <w:marLeft w:val="0"/>
      <w:marRight w:val="0"/>
      <w:marTop w:val="0"/>
      <w:marBottom w:val="0"/>
      <w:divBdr>
        <w:top w:val="none" w:sz="0" w:space="0" w:color="auto"/>
        <w:left w:val="none" w:sz="0" w:space="0" w:color="auto"/>
        <w:bottom w:val="none" w:sz="0" w:space="0" w:color="auto"/>
        <w:right w:val="none" w:sz="0" w:space="0" w:color="auto"/>
      </w:divBdr>
    </w:div>
    <w:div w:id="212568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14</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2</cp:revision>
  <dcterms:created xsi:type="dcterms:W3CDTF">2024-06-20T18:23:00Z</dcterms:created>
  <dcterms:modified xsi:type="dcterms:W3CDTF">2024-06-20T23:27:00Z</dcterms:modified>
</cp:coreProperties>
</file>