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F11CEB" w14:textId="77777777" w:rsidR="00AF5B82" w:rsidRDefault="00AF5B8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5A26CAAD" w14:textId="77777777" w:rsidR="00AF5B82" w:rsidRDefault="00AF5B8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5A3AC4FD" w14:textId="77777777" w:rsidR="00AF5B82" w:rsidRPr="00AE7B32" w:rsidRDefault="00AF5B82" w:rsidP="00D63B5D">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4CCE8A16" w14:textId="77777777" w:rsidR="00AE7B32" w:rsidRDefault="00AE7B32" w:rsidP="00AF5B82">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15CE0578" w14:textId="77777777" w:rsidR="00AE7B32" w:rsidRDefault="00AE7B32" w:rsidP="00AF5B82">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75B64ED0" w14:textId="77777777" w:rsidR="00AE7B32" w:rsidRDefault="00AE7B32" w:rsidP="00AF5B82">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3D261B66" w14:textId="77777777" w:rsidR="00AE7B32" w:rsidRDefault="00AE7B32" w:rsidP="00AF5B82">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p>
    <w:p w14:paraId="3F4BBE1E" w14:textId="6DFA79F8" w:rsidR="00AF5B82" w:rsidRPr="00D63B5D" w:rsidRDefault="00AF5B82" w:rsidP="00AF5B82">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r w:rsidRPr="00D63B5D">
        <w:rPr>
          <w:rFonts w:ascii="Arial" w:eastAsia="Times New Roman" w:hAnsi="Arial" w:cs="Arial"/>
          <w:b/>
          <w:bCs/>
          <w:kern w:val="0"/>
          <w:sz w:val="40"/>
          <w:szCs w:val="40"/>
          <w:lang w:eastAsia="en-IN"/>
          <w14:ligatures w14:val="none"/>
        </w:rPr>
        <w:t xml:space="preserve">1. Banking System Globalization in the US Banking Sector </w:t>
      </w:r>
    </w:p>
    <w:p w14:paraId="2A522EF2" w14:textId="77777777" w:rsidR="00AF5B82" w:rsidRPr="00D63B5D" w:rsidRDefault="00AF5B82" w:rsidP="00AF5B82">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r w:rsidRPr="00D63B5D">
        <w:rPr>
          <w:rFonts w:ascii="Arial" w:eastAsia="Times New Roman" w:hAnsi="Arial" w:cs="Arial"/>
          <w:b/>
          <w:bCs/>
          <w:kern w:val="0"/>
          <w:sz w:val="40"/>
          <w:szCs w:val="40"/>
          <w:lang w:eastAsia="en-IN"/>
          <w14:ligatures w14:val="none"/>
        </w:rPr>
        <w:t xml:space="preserve">2. Financial Inclusion Initiatives in the US Banking Sector </w:t>
      </w:r>
    </w:p>
    <w:p w14:paraId="7A4E67A0" w14:textId="77777777" w:rsidR="00AF5B82" w:rsidRPr="00AE7B32" w:rsidRDefault="00AF5B82" w:rsidP="00AF5B82">
      <w:pPr>
        <w:spacing w:before="100" w:beforeAutospacing="1" w:after="100" w:afterAutospacing="1" w:line="240" w:lineRule="auto"/>
        <w:outlineLvl w:val="1"/>
        <w:rPr>
          <w:rFonts w:ascii="Arial" w:eastAsia="Times New Roman" w:hAnsi="Arial" w:cs="Arial"/>
          <w:b/>
          <w:bCs/>
          <w:kern w:val="0"/>
          <w:sz w:val="40"/>
          <w:szCs w:val="40"/>
          <w:lang w:eastAsia="en-IN"/>
          <w14:ligatures w14:val="none"/>
        </w:rPr>
      </w:pPr>
      <w:r w:rsidRPr="00D63B5D">
        <w:rPr>
          <w:rFonts w:ascii="Arial" w:eastAsia="Times New Roman" w:hAnsi="Arial" w:cs="Arial"/>
          <w:b/>
          <w:bCs/>
          <w:kern w:val="0"/>
          <w:sz w:val="40"/>
          <w:szCs w:val="40"/>
          <w:lang w:eastAsia="en-IN"/>
          <w14:ligatures w14:val="none"/>
        </w:rPr>
        <w:t xml:space="preserve">3. Emerging Trends in the US Banking Sector </w:t>
      </w:r>
    </w:p>
    <w:p w14:paraId="7AAAB52B" w14:textId="77777777" w:rsidR="00AE7B32" w:rsidRPr="00B84D59" w:rsidRDefault="00AE7B32" w:rsidP="00AE7B32">
      <w:pPr>
        <w:spacing w:before="100" w:beforeAutospacing="1" w:after="100" w:afterAutospacing="1" w:line="240" w:lineRule="auto"/>
        <w:jc w:val="center"/>
        <w:rPr>
          <w:rFonts w:ascii="Arial" w:eastAsia="Times New Roman" w:hAnsi="Arial" w:cs="Arial"/>
          <w:b/>
          <w:bCs/>
          <w:kern w:val="0"/>
          <w:sz w:val="32"/>
          <w:szCs w:val="32"/>
          <w:lang w:eastAsia="en-IN"/>
          <w14:ligatures w14:val="none"/>
        </w:rPr>
      </w:pPr>
      <w:r w:rsidRPr="00B84D59">
        <w:rPr>
          <w:rFonts w:ascii="Arial" w:eastAsia="Times New Roman" w:hAnsi="Arial" w:cs="Arial"/>
          <w:b/>
          <w:bCs/>
          <w:kern w:val="0"/>
          <w:sz w:val="32"/>
          <w:szCs w:val="32"/>
          <w:lang w:eastAsia="en-IN"/>
          <w14:ligatures w14:val="none"/>
        </w:rPr>
        <w:t>(Presented By Alan Stuart K)</w:t>
      </w:r>
    </w:p>
    <w:p w14:paraId="64B7CFC5" w14:textId="77777777" w:rsidR="00AE7B32" w:rsidRPr="00D63B5D" w:rsidRDefault="00AE7B32" w:rsidP="00AF5B82">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7EEDF531" w14:textId="77777777" w:rsidR="00AF5B82" w:rsidRDefault="00AF5B8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168DE041" w14:textId="77777777" w:rsidR="00AF5B82" w:rsidRDefault="00AF5B8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5B26CC80" w14:textId="77777777" w:rsidR="00AF5B82" w:rsidRDefault="00AF5B8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224F4026" w14:textId="77777777" w:rsidR="00AF5B82" w:rsidRDefault="00AF5B8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60AA70E4" w14:textId="77777777" w:rsidR="00AF5B82" w:rsidRDefault="00AF5B8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44D861CE" w14:textId="77777777" w:rsidR="00AF5B82" w:rsidRDefault="00AF5B8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22BA4C74" w14:textId="77777777" w:rsidR="00AF5B82" w:rsidRDefault="00AF5B8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32F252DB" w14:textId="77777777" w:rsidR="00AE7B32" w:rsidRDefault="00AE7B32"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p>
    <w:p w14:paraId="018FACD2" w14:textId="62AD71C4" w:rsidR="00D63B5D" w:rsidRPr="00D63B5D" w:rsidRDefault="00D63B5D"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 xml:space="preserve">1. Banking System Globalization in the US Banking Sector </w:t>
      </w:r>
    </w:p>
    <w:p w14:paraId="7FE592C8" w14:textId="6768B4F6"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Introduction</w:t>
      </w:r>
      <w:r w:rsidR="00AF5B82">
        <w:rPr>
          <w:rFonts w:ascii="Arial" w:eastAsia="Times New Roman" w:hAnsi="Arial" w:cs="Arial"/>
          <w:b/>
          <w:bCs/>
          <w:kern w:val="0"/>
          <w:sz w:val="28"/>
          <w:szCs w:val="28"/>
          <w:lang w:eastAsia="en-IN"/>
          <w14:ligatures w14:val="none"/>
        </w:rPr>
        <w:t>:</w:t>
      </w:r>
    </w:p>
    <w:p w14:paraId="253D0017" w14:textId="183990B8"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kern w:val="0"/>
          <w:sz w:val="28"/>
          <w:szCs w:val="28"/>
          <w:lang w:eastAsia="en-IN"/>
          <w14:ligatures w14:val="none"/>
        </w:rPr>
        <w:t xml:space="preserve">The US banking sector has traditionally held a dominant position in the global financial system. However, recent decades have witnessed a growing trend of globalization, with foreign banks entering the US market and US banks expanding their international presence. This report explores the implications of globalization for the US banking sector, </w:t>
      </w:r>
      <w:r w:rsidRPr="00AF5B82">
        <w:rPr>
          <w:rFonts w:ascii="Arial" w:eastAsia="Times New Roman" w:hAnsi="Arial" w:cs="Arial"/>
          <w:kern w:val="0"/>
          <w:sz w:val="28"/>
          <w:szCs w:val="28"/>
          <w:lang w:eastAsia="en-IN"/>
          <w14:ligatures w14:val="none"/>
        </w:rPr>
        <w:t>analysing</w:t>
      </w:r>
      <w:r w:rsidRPr="00D63B5D">
        <w:rPr>
          <w:rFonts w:ascii="Arial" w:eastAsia="Times New Roman" w:hAnsi="Arial" w:cs="Arial"/>
          <w:kern w:val="0"/>
          <w:sz w:val="28"/>
          <w:szCs w:val="28"/>
          <w:lang w:eastAsia="en-IN"/>
          <w14:ligatures w14:val="none"/>
        </w:rPr>
        <w:t xml:space="preserve"> its impact on competition, risk, and innovation.</w:t>
      </w:r>
    </w:p>
    <w:p w14:paraId="1CEA8513" w14:textId="0A170DA4" w:rsidR="00AF5B82" w:rsidRDefault="00A63751"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1151BC46" wp14:editId="497286C7">
            <wp:extent cx="5731510" cy="3106420"/>
            <wp:effectExtent l="0" t="0" r="2540" b="0"/>
            <wp:docPr id="92279794" name="Picture 1" descr="History of Banking | Profinch- Building Adaptable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of Banking | Profinch- Building Adaptable Enterpris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106420"/>
                    </a:xfrm>
                    <a:prstGeom prst="rect">
                      <a:avLst/>
                    </a:prstGeom>
                    <a:noFill/>
                    <a:ln>
                      <a:noFill/>
                    </a:ln>
                  </pic:spPr>
                </pic:pic>
              </a:graphicData>
            </a:graphic>
          </wp:inline>
        </w:drawing>
      </w:r>
    </w:p>
    <w:p w14:paraId="5657904F" w14:textId="28A6D047" w:rsidR="00AF5B82" w:rsidRDefault="00A63751"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50060E29" wp14:editId="32C644A1">
            <wp:extent cx="5721350" cy="3396615"/>
            <wp:effectExtent l="0" t="0" r="0" b="0"/>
            <wp:docPr id="437606187" name="Picture 2" descr="Structure of the global banking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cture of the global banking system.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4639" cy="3428251"/>
                    </a:xfrm>
                    <a:prstGeom prst="rect">
                      <a:avLst/>
                    </a:prstGeom>
                    <a:noFill/>
                    <a:ln>
                      <a:noFill/>
                    </a:ln>
                  </pic:spPr>
                </pic:pic>
              </a:graphicData>
            </a:graphic>
          </wp:inline>
        </w:drawing>
      </w:r>
    </w:p>
    <w:p w14:paraId="303933EB" w14:textId="1BFF5D6B"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Rise of Foreign Banks in the US</w:t>
      </w:r>
      <w:r w:rsidR="00AF5B82">
        <w:rPr>
          <w:rFonts w:ascii="Arial" w:eastAsia="Times New Roman" w:hAnsi="Arial" w:cs="Arial"/>
          <w:b/>
          <w:bCs/>
          <w:kern w:val="0"/>
          <w:sz w:val="28"/>
          <w:szCs w:val="28"/>
          <w:lang w:eastAsia="en-IN"/>
          <w14:ligatures w14:val="none"/>
        </w:rPr>
        <w:t>:</w:t>
      </w:r>
    </w:p>
    <w:p w14:paraId="1D8995BD" w14:textId="77777777" w:rsidR="00D63B5D" w:rsidRPr="00D63B5D" w:rsidRDefault="00D63B5D" w:rsidP="00D63B5D">
      <w:pPr>
        <w:numPr>
          <w:ilvl w:val="0"/>
          <w:numId w:val="1"/>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Entry of Foreign Banks:</w:t>
      </w:r>
      <w:r w:rsidRPr="00D63B5D">
        <w:rPr>
          <w:rFonts w:ascii="Arial" w:eastAsia="Times New Roman" w:hAnsi="Arial" w:cs="Arial"/>
          <w:kern w:val="0"/>
          <w:sz w:val="28"/>
          <w:szCs w:val="28"/>
          <w:lang w:eastAsia="en-IN"/>
          <w14:ligatures w14:val="none"/>
        </w:rPr>
        <w:t xml:space="preserve"> Since the 1980s, deregulation and liberalization measures have facilitated the entry of foreign banks into the US market. These banks offer competition to domestic institutions, particularly in areas like corporate and investment banking.</w:t>
      </w:r>
    </w:p>
    <w:p w14:paraId="4242458F" w14:textId="1BC86B60"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Data Point:</w:t>
      </w:r>
      <w:r w:rsidRPr="00D63B5D">
        <w:rPr>
          <w:rFonts w:ascii="Arial" w:eastAsia="Times New Roman" w:hAnsi="Arial" w:cs="Arial"/>
          <w:kern w:val="0"/>
          <w:sz w:val="28"/>
          <w:szCs w:val="28"/>
          <w:lang w:eastAsia="en-IN"/>
          <w14:ligatures w14:val="none"/>
        </w:rPr>
        <w:t xml:space="preserve"> According to the Federal Reserve Bank of St. Louis, foreign banks held over $7 trillion in total assets in the US by 2022, representing a significant share of the market.</w:t>
      </w:r>
    </w:p>
    <w:p w14:paraId="037346E2" w14:textId="77777777" w:rsidR="00D63B5D" w:rsidRPr="00D63B5D" w:rsidRDefault="00D63B5D" w:rsidP="00D63B5D">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Benefits of Competition:</w:t>
      </w:r>
      <w:r w:rsidRPr="00D63B5D">
        <w:rPr>
          <w:rFonts w:ascii="Arial" w:eastAsia="Times New Roman" w:hAnsi="Arial" w:cs="Arial"/>
          <w:kern w:val="0"/>
          <w:sz w:val="28"/>
          <w:szCs w:val="28"/>
          <w:lang w:eastAsia="en-IN"/>
          <w14:ligatures w14:val="none"/>
        </w:rPr>
        <w:t xml:space="preserve"> Increased competition from foreign banks can lead to lower interest rates on loans and higher interest rates on deposits for US consumers and businesses.</w:t>
      </w:r>
    </w:p>
    <w:p w14:paraId="78730DF6" w14:textId="77777777" w:rsidR="00D63B5D" w:rsidRPr="00D63B5D" w:rsidRDefault="00D63B5D" w:rsidP="00D63B5D">
      <w:pPr>
        <w:numPr>
          <w:ilvl w:val="0"/>
          <w:numId w:val="2"/>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Challenges for Domestic Banks:</w:t>
      </w:r>
      <w:r w:rsidRPr="00D63B5D">
        <w:rPr>
          <w:rFonts w:ascii="Arial" w:eastAsia="Times New Roman" w:hAnsi="Arial" w:cs="Arial"/>
          <w:kern w:val="0"/>
          <w:sz w:val="28"/>
          <w:szCs w:val="28"/>
          <w:lang w:eastAsia="en-IN"/>
          <w14:ligatures w14:val="none"/>
        </w:rPr>
        <w:t xml:space="preserve"> Domestic banks may face pressure to improve efficiency and innovation to compete effectively with foreign players.</w:t>
      </w:r>
    </w:p>
    <w:p w14:paraId="70EB899B" w14:textId="2D2D0F74"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US Banks Going Global</w:t>
      </w:r>
      <w:r w:rsidR="00AF5B82">
        <w:rPr>
          <w:rFonts w:ascii="Arial" w:eastAsia="Times New Roman" w:hAnsi="Arial" w:cs="Arial"/>
          <w:b/>
          <w:bCs/>
          <w:kern w:val="0"/>
          <w:sz w:val="28"/>
          <w:szCs w:val="28"/>
          <w:lang w:eastAsia="en-IN"/>
          <w14:ligatures w14:val="none"/>
        </w:rPr>
        <w:t>:</w:t>
      </w:r>
    </w:p>
    <w:p w14:paraId="170AE73D" w14:textId="77777777" w:rsidR="00D63B5D" w:rsidRPr="00D63B5D" w:rsidRDefault="00D63B5D" w:rsidP="00D63B5D">
      <w:pPr>
        <w:numPr>
          <w:ilvl w:val="0"/>
          <w:numId w:val="3"/>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Expansion Abroad:</w:t>
      </w:r>
      <w:r w:rsidRPr="00D63B5D">
        <w:rPr>
          <w:rFonts w:ascii="Arial" w:eastAsia="Times New Roman" w:hAnsi="Arial" w:cs="Arial"/>
          <w:kern w:val="0"/>
          <w:sz w:val="28"/>
          <w:szCs w:val="28"/>
          <w:lang w:eastAsia="en-IN"/>
          <w14:ligatures w14:val="none"/>
        </w:rPr>
        <w:t xml:space="preserve"> US banks have also expanded their international reach, offering a wider range of financial services to businesses and consumers worldwide. This allows them to diversify their revenue streams and tap into new growth markets.</w:t>
      </w:r>
    </w:p>
    <w:p w14:paraId="1855C03E" w14:textId="3C25A4D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Data Point:</w:t>
      </w:r>
      <w:r w:rsidRPr="00D63B5D">
        <w:rPr>
          <w:rFonts w:ascii="Arial" w:eastAsia="Times New Roman" w:hAnsi="Arial" w:cs="Arial"/>
          <w:kern w:val="0"/>
          <w:sz w:val="28"/>
          <w:szCs w:val="28"/>
          <w:lang w:eastAsia="en-IN"/>
          <w14:ligatures w14:val="none"/>
        </w:rPr>
        <w:t xml:space="preserve"> A report by the Institute of International Finance indicates that US banks held over $20 trillion in foreign assets by 2022, highlighting their significant global footprint.</w:t>
      </w:r>
    </w:p>
    <w:p w14:paraId="2CBCBD07" w14:textId="77777777" w:rsidR="00D63B5D" w:rsidRPr="00D63B5D" w:rsidRDefault="00D63B5D" w:rsidP="00D63B5D">
      <w:pPr>
        <w:numPr>
          <w:ilvl w:val="0"/>
          <w:numId w:val="4"/>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Benefits of Expansion:</w:t>
      </w:r>
      <w:r w:rsidRPr="00D63B5D">
        <w:rPr>
          <w:rFonts w:ascii="Arial" w:eastAsia="Times New Roman" w:hAnsi="Arial" w:cs="Arial"/>
          <w:kern w:val="0"/>
          <w:sz w:val="28"/>
          <w:szCs w:val="28"/>
          <w:lang w:eastAsia="en-IN"/>
          <w14:ligatures w14:val="none"/>
        </w:rPr>
        <w:t xml:space="preserve"> Global expansion can provide US banks with access to a wider pool of capital, talent, and business opportunities.</w:t>
      </w:r>
    </w:p>
    <w:p w14:paraId="5FAC795A" w14:textId="77777777" w:rsidR="00D63B5D" w:rsidRPr="00D63B5D" w:rsidRDefault="00D63B5D" w:rsidP="00D63B5D">
      <w:pPr>
        <w:numPr>
          <w:ilvl w:val="0"/>
          <w:numId w:val="4"/>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Risks of Expansion:</w:t>
      </w:r>
      <w:r w:rsidRPr="00D63B5D">
        <w:rPr>
          <w:rFonts w:ascii="Arial" w:eastAsia="Times New Roman" w:hAnsi="Arial" w:cs="Arial"/>
          <w:kern w:val="0"/>
          <w:sz w:val="28"/>
          <w:szCs w:val="28"/>
          <w:lang w:eastAsia="en-IN"/>
          <w14:ligatures w14:val="none"/>
        </w:rPr>
        <w:t xml:space="preserve"> Operating in foreign markets exposes US banks to currency fluctuations, political instability, and unfamiliar regulatory environments.</w:t>
      </w:r>
    </w:p>
    <w:p w14:paraId="6CA6E46A" w14:textId="5E0443D2" w:rsidR="00AF5B82" w:rsidRDefault="00D72B9D"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3416AF39" wp14:editId="090AB8D5">
            <wp:extent cx="5695950" cy="1511300"/>
            <wp:effectExtent l="0" t="0" r="0" b="0"/>
            <wp:docPr id="1615768372" name="Picture 8" descr="Covid-19 and the future of central banks – GIS 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vid-19 and the future of central banks – GIS Repor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303" cy="1536600"/>
                    </a:xfrm>
                    <a:prstGeom prst="rect">
                      <a:avLst/>
                    </a:prstGeom>
                    <a:noFill/>
                    <a:ln>
                      <a:noFill/>
                    </a:ln>
                  </pic:spPr>
                </pic:pic>
              </a:graphicData>
            </a:graphic>
          </wp:inline>
        </w:drawing>
      </w:r>
    </w:p>
    <w:p w14:paraId="76B85A4B" w14:textId="25E33579"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Impact of Globalization on the US Banking System</w:t>
      </w:r>
      <w:r w:rsidR="00AF5B82">
        <w:rPr>
          <w:rFonts w:ascii="Arial" w:eastAsia="Times New Roman" w:hAnsi="Arial" w:cs="Arial"/>
          <w:b/>
          <w:bCs/>
          <w:kern w:val="0"/>
          <w:sz w:val="28"/>
          <w:szCs w:val="28"/>
          <w:lang w:eastAsia="en-IN"/>
          <w14:ligatures w14:val="none"/>
        </w:rPr>
        <w:t>:</w:t>
      </w:r>
    </w:p>
    <w:p w14:paraId="196CDEF8" w14:textId="77777777" w:rsidR="00D63B5D" w:rsidRPr="00D63B5D" w:rsidRDefault="00D63B5D" w:rsidP="00D63B5D">
      <w:pPr>
        <w:numPr>
          <w:ilvl w:val="0"/>
          <w:numId w:val="5"/>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Increased Risk:</w:t>
      </w:r>
      <w:r w:rsidRPr="00D63B5D">
        <w:rPr>
          <w:rFonts w:ascii="Arial" w:eastAsia="Times New Roman" w:hAnsi="Arial" w:cs="Arial"/>
          <w:kern w:val="0"/>
          <w:sz w:val="28"/>
          <w:szCs w:val="28"/>
          <w:lang w:eastAsia="en-IN"/>
          <w14:ligatures w14:val="none"/>
        </w:rPr>
        <w:t xml:space="preserve"> Globalization can expose the US banking system to interconnectedness risks. Issues in one part of the world can have ripple effects on other markets, potentially amplifying financial crises.</w:t>
      </w:r>
    </w:p>
    <w:p w14:paraId="00B27CFB" w14:textId="77777777" w:rsidR="00D63B5D" w:rsidRPr="00D63B5D" w:rsidRDefault="00D63B5D" w:rsidP="00D63B5D">
      <w:pPr>
        <w:numPr>
          <w:ilvl w:val="0"/>
          <w:numId w:val="5"/>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Regulatory Challenges:</w:t>
      </w:r>
      <w:r w:rsidRPr="00D63B5D">
        <w:rPr>
          <w:rFonts w:ascii="Arial" w:eastAsia="Times New Roman" w:hAnsi="Arial" w:cs="Arial"/>
          <w:kern w:val="0"/>
          <w:sz w:val="28"/>
          <w:szCs w:val="28"/>
          <w:lang w:eastAsia="en-IN"/>
          <w14:ligatures w14:val="none"/>
        </w:rPr>
        <w:t xml:space="preserve"> Effectively regulating a globalized banking system requires international cooperation and coordination among regulatory bodies to ensure financial stability.</w:t>
      </w:r>
    </w:p>
    <w:p w14:paraId="5A715517" w14:textId="77777777" w:rsidR="00D63B5D" w:rsidRPr="00D63B5D" w:rsidRDefault="00D63B5D" w:rsidP="00D63B5D">
      <w:pPr>
        <w:numPr>
          <w:ilvl w:val="0"/>
          <w:numId w:val="5"/>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Innovation and Efficiency:</w:t>
      </w:r>
      <w:r w:rsidRPr="00D63B5D">
        <w:rPr>
          <w:rFonts w:ascii="Arial" w:eastAsia="Times New Roman" w:hAnsi="Arial" w:cs="Arial"/>
          <w:kern w:val="0"/>
          <w:sz w:val="28"/>
          <w:szCs w:val="28"/>
          <w:lang w:eastAsia="en-IN"/>
          <w14:ligatures w14:val="none"/>
        </w:rPr>
        <w:t xml:space="preserve"> Globalization can foster innovation as banks compete for market share and develop new products and services tailored to diverse customer needs.</w:t>
      </w:r>
    </w:p>
    <w:p w14:paraId="48DA3E21" w14:textId="5E1633DB"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Case Study: The 2008 Financial Crisis</w:t>
      </w:r>
      <w:r w:rsidR="00AF5B82">
        <w:rPr>
          <w:rFonts w:ascii="Arial" w:eastAsia="Times New Roman" w:hAnsi="Arial" w:cs="Arial"/>
          <w:b/>
          <w:bCs/>
          <w:kern w:val="0"/>
          <w:sz w:val="28"/>
          <w:szCs w:val="28"/>
          <w:lang w:eastAsia="en-IN"/>
          <w14:ligatures w14:val="none"/>
        </w:rPr>
        <w:t>:</w:t>
      </w:r>
    </w:p>
    <w:p w14:paraId="778E5712" w14:textId="77777777" w:rsid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kern w:val="0"/>
          <w:sz w:val="28"/>
          <w:szCs w:val="28"/>
          <w:lang w:eastAsia="en-IN"/>
          <w14:ligatures w14:val="none"/>
        </w:rPr>
        <w:t>The 2008 financial crisis highlighted the interconnectedness of the global financial system. The collapse of Lehman Brothers in the US triggered a domino effect, impacting financial institutions worldwide. This event underscored the need for robust risk management practices and international cooperation to mitigate systemic risks.</w:t>
      </w:r>
    </w:p>
    <w:p w14:paraId="79171A60" w14:textId="77777777" w:rsidR="00F14918" w:rsidRPr="00D63B5D" w:rsidRDefault="00F14918" w:rsidP="00D63B5D">
      <w:pPr>
        <w:spacing w:before="100" w:beforeAutospacing="1" w:after="100" w:afterAutospacing="1" w:line="240" w:lineRule="auto"/>
        <w:rPr>
          <w:rFonts w:ascii="Arial" w:eastAsia="Times New Roman" w:hAnsi="Arial" w:cs="Arial"/>
          <w:kern w:val="0"/>
          <w:sz w:val="28"/>
          <w:szCs w:val="28"/>
          <w:lang w:eastAsia="en-IN"/>
          <w14:ligatures w14:val="none"/>
        </w:rPr>
      </w:pPr>
    </w:p>
    <w:p w14:paraId="3AB2B06E" w14:textId="78E30DC2" w:rsidR="00AF5B82" w:rsidRDefault="00F14918"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0485B1D7" wp14:editId="680FFCF9">
            <wp:extent cx="5731510" cy="3305810"/>
            <wp:effectExtent l="0" t="0" r="2540" b="8890"/>
            <wp:docPr id="2144200330" name="Picture 2" descr="View of Impact of Globalization on Banks Performance and Standard of Living  in GCC Countries: Macro Evidence Based on GMM Approach | International  Journal of Business, Economics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of Impact of Globalization on Banks Performance and Standard of Living  in GCC Countries: Macro Evidence Based on GMM Approach | International  Journal of Business, Economics and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05810"/>
                    </a:xfrm>
                    <a:prstGeom prst="rect">
                      <a:avLst/>
                    </a:prstGeom>
                    <a:noFill/>
                    <a:ln>
                      <a:noFill/>
                    </a:ln>
                  </pic:spPr>
                </pic:pic>
              </a:graphicData>
            </a:graphic>
          </wp:inline>
        </w:drawing>
      </w:r>
    </w:p>
    <w:p w14:paraId="236E06F9" w14:textId="77777777" w:rsidR="00AF5B82" w:rsidRDefault="00AF5B82"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6EC6B9BA" w14:textId="77777777" w:rsidR="00F14918" w:rsidRDefault="00F14918"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2AAF3AA3" w14:textId="3110DBA3"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The Road Ahead</w:t>
      </w:r>
      <w:r w:rsidR="00AF5B82">
        <w:rPr>
          <w:rFonts w:ascii="Arial" w:eastAsia="Times New Roman" w:hAnsi="Arial" w:cs="Arial"/>
          <w:b/>
          <w:bCs/>
          <w:kern w:val="0"/>
          <w:sz w:val="28"/>
          <w:szCs w:val="28"/>
          <w:lang w:eastAsia="en-IN"/>
          <w14:ligatures w14:val="none"/>
        </w:rPr>
        <w:t>:</w:t>
      </w:r>
    </w:p>
    <w:p w14:paraId="1F6944AD" w14:textId="7777777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kern w:val="0"/>
          <w:sz w:val="28"/>
          <w:szCs w:val="28"/>
          <w:lang w:eastAsia="en-IN"/>
          <w14:ligatures w14:val="none"/>
        </w:rPr>
        <w:t>The future of banking system globalization in the US remains uncertain. Regulatory developments, technological advancements, and global economic trends will all play a role in shaping this landscape. However, it is likely that globalization will continue to influence the US banking sector, presenting both opportunities and challenges.</w:t>
      </w:r>
    </w:p>
    <w:p w14:paraId="0DDE8FD1" w14:textId="6DD5976A" w:rsidR="00AF5B82" w:rsidRDefault="00D72B9D"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Pr>
          <w:noProof/>
        </w:rPr>
        <w:drawing>
          <wp:inline distT="0" distB="0" distL="0" distR="0" wp14:anchorId="639CE5E8" wp14:editId="77768D0F">
            <wp:extent cx="5731510" cy="3126105"/>
            <wp:effectExtent l="0" t="0" r="2540" b="0"/>
            <wp:docPr id="640846568" name="Picture 5" descr="Why the dollar keeps winning in the global economy | Re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y the dollar keeps winning in the global economy | Reut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6105"/>
                    </a:xfrm>
                    <a:prstGeom prst="rect">
                      <a:avLst/>
                    </a:prstGeom>
                    <a:noFill/>
                    <a:ln>
                      <a:noFill/>
                    </a:ln>
                  </pic:spPr>
                </pic:pic>
              </a:graphicData>
            </a:graphic>
          </wp:inline>
        </w:drawing>
      </w:r>
    </w:p>
    <w:p w14:paraId="16D879A9" w14:textId="77777777" w:rsidR="001E6398" w:rsidRDefault="00D72B9D"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Pr>
          <w:noProof/>
        </w:rPr>
        <w:drawing>
          <wp:inline distT="0" distB="0" distL="0" distR="0" wp14:anchorId="13F59FE2" wp14:editId="67F0ECCE">
            <wp:extent cx="5731510" cy="3747135"/>
            <wp:effectExtent l="0" t="0" r="2540" b="5715"/>
            <wp:docPr id="56956300" name="Picture 6" descr="US dollar most important currency in international trade and finance – Bank  of Finland Bulle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 dollar most important currency in international trade and finance – Bank  of Finland Bullet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747135"/>
                    </a:xfrm>
                    <a:prstGeom prst="rect">
                      <a:avLst/>
                    </a:prstGeom>
                    <a:noFill/>
                    <a:ln>
                      <a:noFill/>
                    </a:ln>
                  </pic:spPr>
                </pic:pic>
              </a:graphicData>
            </a:graphic>
          </wp:inline>
        </w:drawing>
      </w:r>
    </w:p>
    <w:p w14:paraId="3BC3AE60" w14:textId="0A5C6D44" w:rsidR="00D63B5D" w:rsidRPr="00D63B5D" w:rsidRDefault="00D63B5D"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 xml:space="preserve">2. Financial Inclusion Initiatives in the US Banking Sector </w:t>
      </w:r>
    </w:p>
    <w:p w14:paraId="5D055F75" w14:textId="1F64011D"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Introduction</w:t>
      </w:r>
      <w:r w:rsidR="00AF5B82">
        <w:rPr>
          <w:rFonts w:ascii="Arial" w:eastAsia="Times New Roman" w:hAnsi="Arial" w:cs="Arial"/>
          <w:b/>
          <w:bCs/>
          <w:kern w:val="0"/>
          <w:sz w:val="28"/>
          <w:szCs w:val="28"/>
          <w:lang w:eastAsia="en-IN"/>
          <w14:ligatures w14:val="none"/>
        </w:rPr>
        <w:t>:</w:t>
      </w:r>
    </w:p>
    <w:p w14:paraId="322BE964" w14:textId="77777777" w:rsid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kern w:val="0"/>
          <w:sz w:val="28"/>
          <w:szCs w:val="28"/>
          <w:lang w:eastAsia="en-IN"/>
          <w14:ligatures w14:val="none"/>
        </w:rPr>
        <w:t>Financial inclusion refers to ensuring that everyone has access to affordable and useful financial products and services. This includes basic banking services like checking and savings accounts, as well as credit, money transfers, and insurance. Unfortunately, a significant portion of the US population remains unbanked or underbanked, lacking access to mainstream financial services. This report examines various initiatives aimed at promoting financial inclusion in the US banking sector.</w:t>
      </w:r>
    </w:p>
    <w:p w14:paraId="5C96E95C" w14:textId="77777777" w:rsidR="001E6398" w:rsidRPr="00D63B5D" w:rsidRDefault="001E6398" w:rsidP="00D63B5D">
      <w:pPr>
        <w:spacing w:before="100" w:beforeAutospacing="1" w:after="100" w:afterAutospacing="1" w:line="240" w:lineRule="auto"/>
        <w:rPr>
          <w:rFonts w:ascii="Arial" w:eastAsia="Times New Roman" w:hAnsi="Arial" w:cs="Arial"/>
          <w:kern w:val="0"/>
          <w:sz w:val="28"/>
          <w:szCs w:val="28"/>
          <w:lang w:eastAsia="en-IN"/>
          <w14:ligatures w14:val="none"/>
        </w:rPr>
      </w:pPr>
    </w:p>
    <w:p w14:paraId="1B28B330" w14:textId="0CD45368" w:rsidR="001E6398" w:rsidRDefault="001E6398"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400DAC9A" wp14:editId="7845C146">
            <wp:extent cx="5735955" cy="2089150"/>
            <wp:effectExtent l="0" t="0" r="0" b="6350"/>
            <wp:docPr id="1204893522" name="Picture 11" descr="Five A's of Financial Inclu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ve A's of Financial Inclusio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4792" cy="2117864"/>
                    </a:xfrm>
                    <a:prstGeom prst="rect">
                      <a:avLst/>
                    </a:prstGeom>
                    <a:noFill/>
                    <a:ln>
                      <a:noFill/>
                    </a:ln>
                  </pic:spPr>
                </pic:pic>
              </a:graphicData>
            </a:graphic>
          </wp:inline>
        </w:drawing>
      </w:r>
    </w:p>
    <w:p w14:paraId="7F324068" w14:textId="2BB20497" w:rsidR="00AF5B82" w:rsidRDefault="001E6398"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57AE9822" wp14:editId="223F4779">
            <wp:extent cx="5731510" cy="3223895"/>
            <wp:effectExtent l="0" t="0" r="2540" b="0"/>
            <wp:docPr id="1708142435" name="Picture 10" descr="Financial inclusion initi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nancial inclusion initiativ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588207" w14:textId="77777777" w:rsidR="001E6398" w:rsidRDefault="001E6398"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p>
    <w:p w14:paraId="59A56BA8" w14:textId="20F09388"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The Scope of the Challenge</w:t>
      </w:r>
      <w:r w:rsidR="00AF5B82">
        <w:rPr>
          <w:rFonts w:ascii="Arial" w:eastAsia="Times New Roman" w:hAnsi="Arial" w:cs="Arial"/>
          <w:b/>
          <w:bCs/>
          <w:kern w:val="0"/>
          <w:sz w:val="28"/>
          <w:szCs w:val="28"/>
          <w:lang w:eastAsia="en-IN"/>
          <w14:ligatures w14:val="none"/>
        </w:rPr>
        <w:t>:</w:t>
      </w:r>
    </w:p>
    <w:p w14:paraId="3A1FED10" w14:textId="77777777" w:rsidR="00D63B5D" w:rsidRPr="00D63B5D" w:rsidRDefault="00D63B5D" w:rsidP="00D63B5D">
      <w:pPr>
        <w:numPr>
          <w:ilvl w:val="0"/>
          <w:numId w:val="8"/>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The Unbanked and Underbanked:</w:t>
      </w:r>
      <w:r w:rsidRPr="00D63B5D">
        <w:rPr>
          <w:rFonts w:ascii="Arial" w:eastAsia="Times New Roman" w:hAnsi="Arial" w:cs="Arial"/>
          <w:kern w:val="0"/>
          <w:sz w:val="28"/>
          <w:szCs w:val="28"/>
          <w:lang w:eastAsia="en-IN"/>
          <w14:ligatures w14:val="none"/>
        </w:rPr>
        <w:t xml:space="preserve"> According to the Federal Deposit Insurance Corporation (FDIC) [1], approximately 5.8 million US households were unbanked in 2021, meaning they did not have a checking or savings account at a bank or credit union. Additionally, many more are underbanked, relying on alternative financial services like payday lenders, which often come with high fees and predatory practices.</w:t>
      </w:r>
    </w:p>
    <w:p w14:paraId="75D66144" w14:textId="55EFE1C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Data Point:</w:t>
      </w:r>
      <w:r w:rsidRPr="00D63B5D">
        <w:rPr>
          <w:rFonts w:ascii="Arial" w:eastAsia="Times New Roman" w:hAnsi="Arial" w:cs="Arial"/>
          <w:kern w:val="0"/>
          <w:sz w:val="28"/>
          <w:szCs w:val="28"/>
          <w:lang w:eastAsia="en-IN"/>
          <w14:ligatures w14:val="none"/>
        </w:rPr>
        <w:t xml:space="preserve"> A study by the Pew Research </w:t>
      </w:r>
      <w:r w:rsidRPr="00AF5B82">
        <w:rPr>
          <w:rFonts w:ascii="Arial" w:eastAsia="Times New Roman" w:hAnsi="Arial" w:cs="Arial"/>
          <w:kern w:val="0"/>
          <w:sz w:val="28"/>
          <w:szCs w:val="28"/>
          <w:lang w:eastAsia="en-IN"/>
          <w14:ligatures w14:val="none"/>
        </w:rPr>
        <w:t>Centre</w:t>
      </w:r>
      <w:r w:rsidRPr="00D63B5D">
        <w:rPr>
          <w:rFonts w:ascii="Arial" w:eastAsia="Times New Roman" w:hAnsi="Arial" w:cs="Arial"/>
          <w:kern w:val="0"/>
          <w:sz w:val="28"/>
          <w:szCs w:val="28"/>
          <w:lang w:eastAsia="en-IN"/>
          <w14:ligatures w14:val="none"/>
        </w:rPr>
        <w:t xml:space="preserve"> found that in 2021, 14.7% of US adults were either unbanked or underbanked, highlighting the prevalence of limited financial access.</w:t>
      </w:r>
    </w:p>
    <w:p w14:paraId="3C5E6178" w14:textId="77777777" w:rsidR="00D63B5D" w:rsidRPr="00D63B5D" w:rsidRDefault="00D63B5D" w:rsidP="00D63B5D">
      <w:pPr>
        <w:numPr>
          <w:ilvl w:val="0"/>
          <w:numId w:val="9"/>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Causes of Limited Access:</w:t>
      </w:r>
      <w:r w:rsidRPr="00D63B5D">
        <w:rPr>
          <w:rFonts w:ascii="Arial" w:eastAsia="Times New Roman" w:hAnsi="Arial" w:cs="Arial"/>
          <w:kern w:val="0"/>
          <w:sz w:val="28"/>
          <w:szCs w:val="28"/>
          <w:lang w:eastAsia="en-IN"/>
          <w14:ligatures w14:val="none"/>
        </w:rPr>
        <w:t xml:space="preserve"> Factors like lack of trust in traditional banking institutions, limited access to physical branches in low-income communities, and language barriers can contribute to financial exclusion.</w:t>
      </w:r>
    </w:p>
    <w:p w14:paraId="0BCE0480" w14:textId="329E7A60"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The Importance of Financial Inclusion</w:t>
      </w:r>
      <w:r w:rsidR="00AF5B82">
        <w:rPr>
          <w:rFonts w:ascii="Arial" w:eastAsia="Times New Roman" w:hAnsi="Arial" w:cs="Arial"/>
          <w:b/>
          <w:bCs/>
          <w:kern w:val="0"/>
          <w:sz w:val="28"/>
          <w:szCs w:val="28"/>
          <w:lang w:eastAsia="en-IN"/>
          <w14:ligatures w14:val="none"/>
        </w:rPr>
        <w:t>:</w:t>
      </w:r>
    </w:p>
    <w:p w14:paraId="798F560C" w14:textId="77777777" w:rsidR="00D63B5D" w:rsidRPr="00D63B5D" w:rsidRDefault="00D63B5D" w:rsidP="00D63B5D">
      <w:pPr>
        <w:numPr>
          <w:ilvl w:val="0"/>
          <w:numId w:val="10"/>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Financial Security and Stability:</w:t>
      </w:r>
      <w:r w:rsidRPr="00D63B5D">
        <w:rPr>
          <w:rFonts w:ascii="Arial" w:eastAsia="Times New Roman" w:hAnsi="Arial" w:cs="Arial"/>
          <w:kern w:val="0"/>
          <w:sz w:val="28"/>
          <w:szCs w:val="28"/>
          <w:lang w:eastAsia="en-IN"/>
          <w14:ligatures w14:val="none"/>
        </w:rPr>
        <w:t xml:space="preserve"> Access to banking services allows individuals and families to manage their finances more effectively, build savings, and weather financial emergencies.</w:t>
      </w:r>
    </w:p>
    <w:p w14:paraId="0AE5095E" w14:textId="77777777" w:rsidR="00D63B5D" w:rsidRPr="00D63B5D" w:rsidRDefault="00D63B5D" w:rsidP="00D63B5D">
      <w:pPr>
        <w:numPr>
          <w:ilvl w:val="0"/>
          <w:numId w:val="10"/>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Economic Participation:</w:t>
      </w:r>
      <w:r w:rsidRPr="00D63B5D">
        <w:rPr>
          <w:rFonts w:ascii="Arial" w:eastAsia="Times New Roman" w:hAnsi="Arial" w:cs="Arial"/>
          <w:kern w:val="0"/>
          <w:sz w:val="28"/>
          <w:szCs w:val="28"/>
          <w:lang w:eastAsia="en-IN"/>
          <w14:ligatures w14:val="none"/>
        </w:rPr>
        <w:t xml:space="preserve"> Financial inclusion is crucial for participation in the formal economy, enabling individuals to access credit for starting businesses or buying homes.</w:t>
      </w:r>
    </w:p>
    <w:p w14:paraId="0FA50A22" w14:textId="77777777" w:rsidR="00D63B5D" w:rsidRPr="00D63B5D" w:rsidRDefault="00D63B5D" w:rsidP="00D63B5D">
      <w:pPr>
        <w:numPr>
          <w:ilvl w:val="0"/>
          <w:numId w:val="10"/>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Social Mobility:</w:t>
      </w:r>
      <w:r w:rsidRPr="00D63B5D">
        <w:rPr>
          <w:rFonts w:ascii="Arial" w:eastAsia="Times New Roman" w:hAnsi="Arial" w:cs="Arial"/>
          <w:kern w:val="0"/>
          <w:sz w:val="28"/>
          <w:szCs w:val="28"/>
          <w:lang w:eastAsia="en-IN"/>
          <w14:ligatures w14:val="none"/>
        </w:rPr>
        <w:t xml:space="preserve"> Financial inclusion can create a more equitable society by providing everyone with the tools needed to build wealth and improve their financial well-being.</w:t>
      </w:r>
    </w:p>
    <w:p w14:paraId="613BF25D" w14:textId="77777777" w:rsidR="001E6398" w:rsidRDefault="00F14918"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0165E3A7" wp14:editId="06DF7A82">
            <wp:extent cx="5695950" cy="2665730"/>
            <wp:effectExtent l="0" t="0" r="0" b="1270"/>
            <wp:docPr id="771203041" name="Picture 3" descr="Financializ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ancialization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035" cy="2697126"/>
                    </a:xfrm>
                    <a:prstGeom prst="rect">
                      <a:avLst/>
                    </a:prstGeom>
                    <a:noFill/>
                    <a:ln>
                      <a:noFill/>
                    </a:ln>
                  </pic:spPr>
                </pic:pic>
              </a:graphicData>
            </a:graphic>
          </wp:inline>
        </w:drawing>
      </w:r>
    </w:p>
    <w:p w14:paraId="4982698E" w14:textId="60922255" w:rsidR="00D63B5D" w:rsidRPr="001E6398" w:rsidRDefault="00D63B5D"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Key Initiatives for Financial Inclusion</w:t>
      </w:r>
      <w:r w:rsidR="00AF5B82">
        <w:rPr>
          <w:rFonts w:ascii="Arial" w:eastAsia="Times New Roman" w:hAnsi="Arial" w:cs="Arial"/>
          <w:b/>
          <w:bCs/>
          <w:kern w:val="0"/>
          <w:sz w:val="28"/>
          <w:szCs w:val="28"/>
          <w:lang w:eastAsia="en-IN"/>
          <w14:ligatures w14:val="none"/>
        </w:rPr>
        <w:t>:</w:t>
      </w:r>
    </w:p>
    <w:p w14:paraId="2B185710" w14:textId="0632C8F9" w:rsidR="00D63B5D" w:rsidRPr="00D63B5D" w:rsidRDefault="00D63B5D" w:rsidP="00D63B5D">
      <w:pPr>
        <w:numPr>
          <w:ilvl w:val="0"/>
          <w:numId w:val="11"/>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The Community Reinvestment Act (CRA):</w:t>
      </w:r>
      <w:r w:rsidRPr="00D63B5D">
        <w:rPr>
          <w:rFonts w:ascii="Arial" w:eastAsia="Times New Roman" w:hAnsi="Arial" w:cs="Arial"/>
          <w:kern w:val="0"/>
          <w:sz w:val="28"/>
          <w:szCs w:val="28"/>
          <w:lang w:eastAsia="en-IN"/>
          <w14:ligatures w14:val="none"/>
        </w:rPr>
        <w:t xml:space="preserve"> Enacted in 1977, the CRA encourages banks to meet the credit needs of all communities within their service areas, including low- and moderate-income </w:t>
      </w:r>
      <w:r w:rsidRPr="00AF5B82">
        <w:rPr>
          <w:rFonts w:ascii="Arial" w:eastAsia="Times New Roman" w:hAnsi="Arial" w:cs="Arial"/>
          <w:kern w:val="0"/>
          <w:sz w:val="28"/>
          <w:szCs w:val="28"/>
          <w:lang w:eastAsia="en-IN"/>
          <w14:ligatures w14:val="none"/>
        </w:rPr>
        <w:t>neighbourhoods</w:t>
      </w:r>
      <w:r w:rsidRPr="00D63B5D">
        <w:rPr>
          <w:rFonts w:ascii="Arial" w:eastAsia="Times New Roman" w:hAnsi="Arial" w:cs="Arial"/>
          <w:kern w:val="0"/>
          <w:sz w:val="28"/>
          <w:szCs w:val="28"/>
          <w:lang w:eastAsia="en-IN"/>
          <w14:ligatures w14:val="none"/>
        </w:rPr>
        <w:t>.</w:t>
      </w:r>
    </w:p>
    <w:p w14:paraId="5FD0B88F" w14:textId="5749A757" w:rsidR="00D63B5D" w:rsidRPr="00D63B5D" w:rsidRDefault="00D63B5D" w:rsidP="00D63B5D">
      <w:pPr>
        <w:numPr>
          <w:ilvl w:val="0"/>
          <w:numId w:val="11"/>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 xml:space="preserve">The Bank </w:t>
      </w:r>
      <w:r w:rsidRPr="00AF5B82">
        <w:rPr>
          <w:rFonts w:ascii="Arial" w:eastAsia="Times New Roman" w:hAnsi="Arial" w:cs="Arial"/>
          <w:b/>
          <w:bCs/>
          <w:kern w:val="0"/>
          <w:sz w:val="28"/>
          <w:szCs w:val="28"/>
          <w:lang w:eastAsia="en-IN"/>
          <w14:ligatures w14:val="none"/>
        </w:rPr>
        <w:t>on</w:t>
      </w:r>
      <w:r w:rsidRPr="00D63B5D">
        <w:rPr>
          <w:rFonts w:ascii="Arial" w:eastAsia="Times New Roman" w:hAnsi="Arial" w:cs="Arial"/>
          <w:b/>
          <w:bCs/>
          <w:kern w:val="0"/>
          <w:sz w:val="28"/>
          <w:szCs w:val="28"/>
          <w:lang w:eastAsia="en-IN"/>
          <w14:ligatures w14:val="none"/>
        </w:rPr>
        <w:t xml:space="preserve"> National Movement:</w:t>
      </w:r>
      <w:r w:rsidRPr="00D63B5D">
        <w:rPr>
          <w:rFonts w:ascii="Arial" w:eastAsia="Times New Roman" w:hAnsi="Arial" w:cs="Arial"/>
          <w:kern w:val="0"/>
          <w:sz w:val="28"/>
          <w:szCs w:val="28"/>
          <w:lang w:eastAsia="en-IN"/>
          <w14:ligatures w14:val="none"/>
        </w:rPr>
        <w:t xml:space="preserve"> This initiative promotes the development of safe and affordable banking products targeted towards the unbanked and underbanked. These accounts typically have low or no minimum balance requirements and limited fees.</w:t>
      </w:r>
    </w:p>
    <w:p w14:paraId="6545252E" w14:textId="1722743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Data Point:</w:t>
      </w:r>
      <w:r w:rsidRPr="00D63B5D">
        <w:rPr>
          <w:rFonts w:ascii="Arial" w:eastAsia="Times New Roman" w:hAnsi="Arial" w:cs="Arial"/>
          <w:kern w:val="0"/>
          <w:sz w:val="28"/>
          <w:szCs w:val="28"/>
          <w:lang w:eastAsia="en-IN"/>
          <w14:ligatures w14:val="none"/>
        </w:rPr>
        <w:t xml:space="preserve"> According to the FDIC, over 1,800 banks and credit unions have partnered with the Bank On program as of 2023.</w:t>
      </w:r>
    </w:p>
    <w:p w14:paraId="28B050BF" w14:textId="77777777" w:rsidR="00D63B5D" w:rsidRPr="00D63B5D" w:rsidRDefault="00D63B5D" w:rsidP="00D63B5D">
      <w:pPr>
        <w:numPr>
          <w:ilvl w:val="0"/>
          <w:numId w:val="12"/>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Financial Technology (FinTech):</w:t>
      </w:r>
      <w:r w:rsidRPr="00D63B5D">
        <w:rPr>
          <w:rFonts w:ascii="Arial" w:eastAsia="Times New Roman" w:hAnsi="Arial" w:cs="Arial"/>
          <w:kern w:val="0"/>
          <w:sz w:val="28"/>
          <w:szCs w:val="28"/>
          <w:lang w:eastAsia="en-IN"/>
          <w14:ligatures w14:val="none"/>
        </w:rPr>
        <w:t xml:space="preserve"> FinTech companies are developing innovative solutions to reach underserved communities. Mobile banking apps and alternative lending platforms can provide financial services to those who may not have access to traditional banking channels.</w:t>
      </w:r>
    </w:p>
    <w:p w14:paraId="0F166C9B" w14:textId="5C1D7AA6"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Challenges and Considerations</w:t>
      </w:r>
      <w:r w:rsidR="00AF5B82">
        <w:rPr>
          <w:rFonts w:ascii="Arial" w:eastAsia="Times New Roman" w:hAnsi="Arial" w:cs="Arial"/>
          <w:b/>
          <w:bCs/>
          <w:kern w:val="0"/>
          <w:sz w:val="28"/>
          <w:szCs w:val="28"/>
          <w:lang w:eastAsia="en-IN"/>
          <w14:ligatures w14:val="none"/>
        </w:rPr>
        <w:t>:</w:t>
      </w:r>
    </w:p>
    <w:p w14:paraId="6A513924" w14:textId="77777777" w:rsidR="00D63B5D" w:rsidRPr="00D63B5D" w:rsidRDefault="00D63B5D" w:rsidP="00D63B5D">
      <w:pPr>
        <w:numPr>
          <w:ilvl w:val="0"/>
          <w:numId w:val="13"/>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Regulatory Hurdles:</w:t>
      </w:r>
      <w:r w:rsidRPr="00D63B5D">
        <w:rPr>
          <w:rFonts w:ascii="Arial" w:eastAsia="Times New Roman" w:hAnsi="Arial" w:cs="Arial"/>
          <w:kern w:val="0"/>
          <w:sz w:val="28"/>
          <w:szCs w:val="28"/>
          <w:lang w:eastAsia="en-IN"/>
          <w14:ligatures w14:val="none"/>
        </w:rPr>
        <w:t xml:space="preserve"> Regulations can sometimes create barriers for FinTech companies entering the financial services market. Balancing innovation with consumer protection is an ongoing challenge.</w:t>
      </w:r>
    </w:p>
    <w:p w14:paraId="490A1B2E" w14:textId="77777777" w:rsidR="00D63B5D" w:rsidRPr="00D63B5D" w:rsidRDefault="00D63B5D" w:rsidP="00D63B5D">
      <w:pPr>
        <w:numPr>
          <w:ilvl w:val="0"/>
          <w:numId w:val="13"/>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Digital Divide:</w:t>
      </w:r>
      <w:r w:rsidRPr="00D63B5D">
        <w:rPr>
          <w:rFonts w:ascii="Arial" w:eastAsia="Times New Roman" w:hAnsi="Arial" w:cs="Arial"/>
          <w:kern w:val="0"/>
          <w:sz w:val="28"/>
          <w:szCs w:val="28"/>
          <w:lang w:eastAsia="en-IN"/>
          <w14:ligatures w14:val="none"/>
        </w:rPr>
        <w:t xml:space="preserve"> Limited access to reliable internet and smartphones can hinder the use of digital financial services, especially in rural areas. Efforts to bridge the digital divide are crucial for promoting financial inclusion.</w:t>
      </w:r>
    </w:p>
    <w:p w14:paraId="23C18C47" w14:textId="77777777" w:rsidR="00D63B5D" w:rsidRPr="00D63B5D" w:rsidRDefault="00D63B5D" w:rsidP="00D63B5D">
      <w:pPr>
        <w:numPr>
          <w:ilvl w:val="0"/>
          <w:numId w:val="13"/>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Financial Literacy:</w:t>
      </w:r>
      <w:r w:rsidRPr="00D63B5D">
        <w:rPr>
          <w:rFonts w:ascii="Arial" w:eastAsia="Times New Roman" w:hAnsi="Arial" w:cs="Arial"/>
          <w:kern w:val="0"/>
          <w:sz w:val="28"/>
          <w:szCs w:val="28"/>
          <w:lang w:eastAsia="en-IN"/>
          <w14:ligatures w14:val="none"/>
        </w:rPr>
        <w:t xml:space="preserve"> Many individuals lack the financial literacy skills necessary to make informed decisions about financial products and services. Educational initiatives can empower individuals to manage their finances effectively.</w:t>
      </w:r>
    </w:p>
    <w:p w14:paraId="4A54B932" w14:textId="77777777" w:rsidR="004F09B2" w:rsidRDefault="004F09B2"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31DB6DC3" wp14:editId="28E28294">
            <wp:extent cx="5702300" cy="1866265"/>
            <wp:effectExtent l="0" t="0" r="0" b="635"/>
            <wp:docPr id="1086997347" name="Picture 16" descr="Financial Inclusion: What Have We Learned So Far? What Do We Have to Learn?  in: IMF Working Papers Volume 2020 Issue 157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nancial Inclusion: What Have We Learned So Far? What Do We Have to Learn?  in: IMF Working Papers Volume 2020 Issue 157 (20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404" cy="1885936"/>
                    </a:xfrm>
                    <a:prstGeom prst="rect">
                      <a:avLst/>
                    </a:prstGeom>
                    <a:noFill/>
                    <a:ln>
                      <a:noFill/>
                    </a:ln>
                  </pic:spPr>
                </pic:pic>
              </a:graphicData>
            </a:graphic>
          </wp:inline>
        </w:drawing>
      </w:r>
    </w:p>
    <w:p w14:paraId="532F4E18" w14:textId="0F04E869" w:rsidR="00D63B5D" w:rsidRPr="004F09B2" w:rsidRDefault="00D63B5D"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The Road Ahead</w:t>
      </w:r>
      <w:r w:rsidR="00AF5B82">
        <w:rPr>
          <w:rFonts w:ascii="Arial" w:eastAsia="Times New Roman" w:hAnsi="Arial" w:cs="Arial"/>
          <w:b/>
          <w:bCs/>
          <w:kern w:val="0"/>
          <w:sz w:val="28"/>
          <w:szCs w:val="28"/>
          <w:lang w:eastAsia="en-IN"/>
          <w14:ligatures w14:val="none"/>
        </w:rPr>
        <w:t>:</w:t>
      </w:r>
    </w:p>
    <w:p w14:paraId="3F2E46CB" w14:textId="6D5EB588" w:rsidR="00F35D4C" w:rsidRPr="00F35D4C" w:rsidRDefault="00D63B5D" w:rsidP="00F35D4C">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kern w:val="0"/>
          <w:sz w:val="28"/>
          <w:szCs w:val="28"/>
          <w:lang w:eastAsia="en-IN"/>
          <w14:ligatures w14:val="none"/>
        </w:rPr>
        <w:t>Promoting financial inclusion requires a multi-pronged approach. Continued support for existing initiatives, coupled with fostering innovation in FinTech, addressing the digital divide, and promoting financial literacy, can all contribute to a more inclusive financial system in the US.</w:t>
      </w:r>
    </w:p>
    <w:p w14:paraId="5B867B8C" w14:textId="513E9D06" w:rsidR="00F35D4C" w:rsidRPr="00F35D4C" w:rsidRDefault="00F35D4C"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Pr>
          <w:noProof/>
        </w:rPr>
        <w:drawing>
          <wp:inline distT="0" distB="0" distL="0" distR="0" wp14:anchorId="34192A42" wp14:editId="297513AA">
            <wp:extent cx="5731510" cy="3481070"/>
            <wp:effectExtent l="0" t="0" r="2540" b="5080"/>
            <wp:docPr id="1137213271" name="Picture 14" descr="Financial inclusion - issues for central b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nancial inclusion - issues for central ban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779306F1" w14:textId="77777777" w:rsidR="004F09B2" w:rsidRDefault="00F35D4C"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Pr>
          <w:noProof/>
        </w:rPr>
        <w:drawing>
          <wp:inline distT="0" distB="0" distL="0" distR="0" wp14:anchorId="2423787C" wp14:editId="733C3F63">
            <wp:extent cx="5731510" cy="3236595"/>
            <wp:effectExtent l="0" t="0" r="2540" b="1905"/>
            <wp:docPr id="687812413" name="Picture 13" descr="Trend in financial inclus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end in financial inclusion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531F5FF1" w14:textId="7CC6F431" w:rsidR="00D63B5D" w:rsidRPr="00D63B5D" w:rsidRDefault="00D63B5D" w:rsidP="00D63B5D">
      <w:pPr>
        <w:spacing w:before="100" w:beforeAutospacing="1" w:after="100" w:afterAutospacing="1" w:line="240" w:lineRule="auto"/>
        <w:outlineLvl w:val="1"/>
        <w:rPr>
          <w:rFonts w:ascii="Arial" w:eastAsia="Times New Roman" w:hAnsi="Arial" w:cs="Arial"/>
          <w:b/>
          <w:bCs/>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 xml:space="preserve">3. Emerging Trends in the US Banking Sector </w:t>
      </w:r>
    </w:p>
    <w:p w14:paraId="75B0724B" w14:textId="40C8823D"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Introduction</w:t>
      </w:r>
      <w:r w:rsidR="00AF5B82">
        <w:rPr>
          <w:rFonts w:ascii="Arial" w:eastAsia="Times New Roman" w:hAnsi="Arial" w:cs="Arial"/>
          <w:b/>
          <w:bCs/>
          <w:kern w:val="0"/>
          <w:sz w:val="28"/>
          <w:szCs w:val="28"/>
          <w:lang w:eastAsia="en-IN"/>
          <w14:ligatures w14:val="none"/>
        </w:rPr>
        <w:t>:</w:t>
      </w:r>
    </w:p>
    <w:p w14:paraId="0D1DADF8" w14:textId="7777777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kern w:val="0"/>
          <w:sz w:val="28"/>
          <w:szCs w:val="28"/>
          <w:lang w:eastAsia="en-IN"/>
          <w14:ligatures w14:val="none"/>
        </w:rPr>
        <w:t>The US banking sector is undergoing a period of significant transformation driven by technological advancements, changing consumer preferences, and a more competitive landscape. This report explores several key emerging trends that are shaping the future of US banking.</w:t>
      </w:r>
    </w:p>
    <w:p w14:paraId="5D093A6F" w14:textId="4C35643B" w:rsidR="00AF5B82" w:rsidRDefault="004F09B2"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71A16FF0" wp14:editId="0B9473CE">
            <wp:extent cx="5731510" cy="4298950"/>
            <wp:effectExtent l="0" t="0" r="2540" b="6350"/>
            <wp:docPr id="1578111207" name="Picture 17" descr="Explore the 10 Emerging Banking Trends in 2024 | StartUs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plore the 10 Emerging Banking Trends in 2024 | StartUs Insigh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B922730" w14:textId="77777777" w:rsidR="00AF3CE3" w:rsidRDefault="009E4813"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28521941" wp14:editId="730D8251">
            <wp:extent cx="5721350" cy="2406015"/>
            <wp:effectExtent l="0" t="0" r="0" b="0"/>
            <wp:docPr id="1715829636" name="Picture 18" descr="Emerging Trends That the Retail Banking Sector Should Expect in 2020 |  Infiniti's Industry Experts Provide In-depth Insights | Business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merging Trends That the Retail Banking Sector Should Expect in 2020 |  Infiniti's Industry Experts Provide In-depth Insights | Business Wi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3472" cy="2440550"/>
                    </a:xfrm>
                    <a:prstGeom prst="rect">
                      <a:avLst/>
                    </a:prstGeom>
                    <a:noFill/>
                    <a:ln>
                      <a:noFill/>
                    </a:ln>
                  </pic:spPr>
                </pic:pic>
              </a:graphicData>
            </a:graphic>
          </wp:inline>
        </w:drawing>
      </w:r>
    </w:p>
    <w:p w14:paraId="46A7CD59" w14:textId="57F1352F" w:rsidR="00D63B5D" w:rsidRPr="009E4813" w:rsidRDefault="00D63B5D"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1. Artificial Intelligence (AI) and Machine Learning (ML):</w:t>
      </w:r>
    </w:p>
    <w:p w14:paraId="2E7DA966" w14:textId="25AFA39E" w:rsidR="00D63B5D" w:rsidRPr="00D63B5D" w:rsidRDefault="00D63B5D" w:rsidP="00D63B5D">
      <w:pPr>
        <w:numPr>
          <w:ilvl w:val="0"/>
          <w:numId w:val="15"/>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Personalized Banking:</w:t>
      </w:r>
      <w:r w:rsidRPr="00D63B5D">
        <w:rPr>
          <w:rFonts w:ascii="Arial" w:eastAsia="Times New Roman" w:hAnsi="Arial" w:cs="Arial"/>
          <w:kern w:val="0"/>
          <w:sz w:val="28"/>
          <w:szCs w:val="28"/>
          <w:lang w:eastAsia="en-IN"/>
          <w14:ligatures w14:val="none"/>
        </w:rPr>
        <w:t xml:space="preserve"> AI can </w:t>
      </w:r>
      <w:r w:rsidRPr="00AF5B82">
        <w:rPr>
          <w:rFonts w:ascii="Arial" w:eastAsia="Times New Roman" w:hAnsi="Arial" w:cs="Arial"/>
          <w:kern w:val="0"/>
          <w:sz w:val="28"/>
          <w:szCs w:val="28"/>
          <w:lang w:eastAsia="en-IN"/>
          <w14:ligatures w14:val="none"/>
        </w:rPr>
        <w:t>analyse</w:t>
      </w:r>
      <w:r w:rsidRPr="00D63B5D">
        <w:rPr>
          <w:rFonts w:ascii="Arial" w:eastAsia="Times New Roman" w:hAnsi="Arial" w:cs="Arial"/>
          <w:kern w:val="0"/>
          <w:sz w:val="28"/>
          <w:szCs w:val="28"/>
          <w:lang w:eastAsia="en-IN"/>
          <w14:ligatures w14:val="none"/>
        </w:rPr>
        <w:t xml:space="preserve"> customer data to personalize financial products and services. This could include recommending suitable investment options, budgeting tools, or fraud alerts tailored to individual spending patterns.</w:t>
      </w:r>
    </w:p>
    <w:p w14:paraId="25D86E45" w14:textId="3CDFE41B"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Data Point:</w:t>
      </w:r>
      <w:r w:rsidRPr="00D63B5D">
        <w:rPr>
          <w:rFonts w:ascii="Arial" w:eastAsia="Times New Roman" w:hAnsi="Arial" w:cs="Arial"/>
          <w:kern w:val="0"/>
          <w:sz w:val="28"/>
          <w:szCs w:val="28"/>
          <w:lang w:eastAsia="en-IN"/>
          <w14:ligatures w14:val="none"/>
        </w:rPr>
        <w:t xml:space="preserve"> A study by Accenture predicts that AI could generate up to $3 trillion in additional revenue for the US banking sector by 2025.</w:t>
      </w:r>
    </w:p>
    <w:p w14:paraId="7B0B1A17" w14:textId="77777777" w:rsidR="00D63B5D" w:rsidRPr="00D63B5D" w:rsidRDefault="00D63B5D" w:rsidP="00D63B5D">
      <w:pPr>
        <w:numPr>
          <w:ilvl w:val="0"/>
          <w:numId w:val="16"/>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Enhanced Customer Service:</w:t>
      </w:r>
      <w:r w:rsidRPr="00D63B5D">
        <w:rPr>
          <w:rFonts w:ascii="Arial" w:eastAsia="Times New Roman" w:hAnsi="Arial" w:cs="Arial"/>
          <w:kern w:val="0"/>
          <w:sz w:val="28"/>
          <w:szCs w:val="28"/>
          <w:lang w:eastAsia="en-IN"/>
          <w14:ligatures w14:val="none"/>
        </w:rPr>
        <w:t xml:space="preserve"> AI-powered chatbots can provide 24/7 customer service, answer basic questions, and resolve simple issues, freeing up human representatives for more complex inquiries.</w:t>
      </w:r>
    </w:p>
    <w:p w14:paraId="73F4DA11" w14:textId="77777777" w:rsidR="00D63B5D" w:rsidRPr="00D63B5D" w:rsidRDefault="00D63B5D" w:rsidP="00D63B5D">
      <w:pPr>
        <w:numPr>
          <w:ilvl w:val="0"/>
          <w:numId w:val="16"/>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Automated Processes:</w:t>
      </w:r>
      <w:r w:rsidRPr="00D63B5D">
        <w:rPr>
          <w:rFonts w:ascii="Arial" w:eastAsia="Times New Roman" w:hAnsi="Arial" w:cs="Arial"/>
          <w:kern w:val="0"/>
          <w:sz w:val="28"/>
          <w:szCs w:val="28"/>
          <w:lang w:eastAsia="en-IN"/>
          <w14:ligatures w14:val="none"/>
        </w:rPr>
        <w:t xml:space="preserve"> Machine learning can automate mundane tasks like loan application processing, fraud detection, and risk management, improving efficiency and reducing errors.</w:t>
      </w:r>
    </w:p>
    <w:p w14:paraId="135EA5CE" w14:textId="7777777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2. Open Banking and APIs:</w:t>
      </w:r>
    </w:p>
    <w:p w14:paraId="310B8B68" w14:textId="77777777" w:rsidR="00D63B5D" w:rsidRPr="00D63B5D" w:rsidRDefault="00D63B5D" w:rsidP="00D63B5D">
      <w:pPr>
        <w:numPr>
          <w:ilvl w:val="0"/>
          <w:numId w:val="17"/>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FinTech Integration:</w:t>
      </w:r>
      <w:r w:rsidRPr="00D63B5D">
        <w:rPr>
          <w:rFonts w:ascii="Arial" w:eastAsia="Times New Roman" w:hAnsi="Arial" w:cs="Arial"/>
          <w:kern w:val="0"/>
          <w:sz w:val="28"/>
          <w:szCs w:val="28"/>
          <w:lang w:eastAsia="en-IN"/>
          <w14:ligatures w14:val="none"/>
        </w:rPr>
        <w:t xml:space="preserve"> Open Banking allows third-party financial technology companies to access customer data (with permission) through APIs (Application Programming Interfaces). This fosters collaboration and innovation in the financial services industry.</w:t>
      </w:r>
    </w:p>
    <w:p w14:paraId="22EFD7C5" w14:textId="37205EDE"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Data Point:</w:t>
      </w:r>
      <w:r w:rsidRPr="00D63B5D">
        <w:rPr>
          <w:rFonts w:ascii="Arial" w:eastAsia="Times New Roman" w:hAnsi="Arial" w:cs="Arial"/>
          <w:kern w:val="0"/>
          <w:sz w:val="28"/>
          <w:szCs w:val="28"/>
          <w:lang w:eastAsia="en-IN"/>
          <w14:ligatures w14:val="none"/>
        </w:rPr>
        <w:t xml:space="preserve"> According to a report by EY, the global Open Banking market is expected to reach $43.15 billion by 2026, highlighting the significant growth potential of this trend.</w:t>
      </w:r>
    </w:p>
    <w:p w14:paraId="663562E0" w14:textId="77777777" w:rsidR="00D63B5D" w:rsidRPr="00D63B5D" w:rsidRDefault="00D63B5D" w:rsidP="00D63B5D">
      <w:pPr>
        <w:numPr>
          <w:ilvl w:val="0"/>
          <w:numId w:val="18"/>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Greater Choice and Flexibility:</w:t>
      </w:r>
      <w:r w:rsidRPr="00D63B5D">
        <w:rPr>
          <w:rFonts w:ascii="Arial" w:eastAsia="Times New Roman" w:hAnsi="Arial" w:cs="Arial"/>
          <w:kern w:val="0"/>
          <w:sz w:val="28"/>
          <w:szCs w:val="28"/>
          <w:lang w:eastAsia="en-IN"/>
          <w14:ligatures w14:val="none"/>
        </w:rPr>
        <w:t xml:space="preserve"> Open Banking allows customers to compare financial products and services from different providers more easily and potentially benefit from more competitive rates and innovative solutions.</w:t>
      </w:r>
    </w:p>
    <w:p w14:paraId="291F2210" w14:textId="77777777" w:rsidR="00D63B5D" w:rsidRPr="00D63B5D" w:rsidRDefault="00D63B5D" w:rsidP="00D63B5D">
      <w:pPr>
        <w:numPr>
          <w:ilvl w:val="0"/>
          <w:numId w:val="18"/>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Data Security Concerns:</w:t>
      </w:r>
      <w:r w:rsidRPr="00D63B5D">
        <w:rPr>
          <w:rFonts w:ascii="Arial" w:eastAsia="Times New Roman" w:hAnsi="Arial" w:cs="Arial"/>
          <w:kern w:val="0"/>
          <w:sz w:val="28"/>
          <w:szCs w:val="28"/>
          <w:lang w:eastAsia="en-IN"/>
          <w14:ligatures w14:val="none"/>
        </w:rPr>
        <w:t xml:space="preserve"> Open Banking raises questions about data privacy and security. Robust regulations and strong consumer protection measures are crucial to ensure responsible data sharing.</w:t>
      </w:r>
    </w:p>
    <w:p w14:paraId="6D0CFC8F" w14:textId="77777777" w:rsidR="004D286F" w:rsidRDefault="004D286F" w:rsidP="00D63B5D">
      <w:pPr>
        <w:spacing w:before="100" w:beforeAutospacing="1" w:after="100" w:afterAutospacing="1" w:line="240" w:lineRule="auto"/>
        <w:rPr>
          <w:rFonts w:ascii="Arial" w:eastAsia="Times New Roman" w:hAnsi="Arial" w:cs="Arial"/>
          <w:b/>
          <w:bCs/>
          <w:noProof/>
          <w:kern w:val="0"/>
          <w:sz w:val="28"/>
          <w:szCs w:val="28"/>
          <w:lang w:eastAsia="en-IN"/>
          <w14:ligatures w14:val="none"/>
        </w:rPr>
      </w:pPr>
      <w:r>
        <w:rPr>
          <w:noProof/>
        </w:rPr>
        <w:drawing>
          <wp:inline distT="0" distB="0" distL="0" distR="0" wp14:anchorId="11C0767F" wp14:editId="6179234D">
            <wp:extent cx="5731510" cy="1295400"/>
            <wp:effectExtent l="0" t="0" r="2540" b="0"/>
            <wp:docPr id="196313554" name="Picture 30" descr="Top 5 Banking Industry Trends in 2021 | Hexa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op 5 Banking Industry Trends in 2021 | Hexa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95400"/>
                    </a:xfrm>
                    <a:prstGeom prst="rect">
                      <a:avLst/>
                    </a:prstGeom>
                    <a:noFill/>
                    <a:ln>
                      <a:noFill/>
                    </a:ln>
                  </pic:spPr>
                </pic:pic>
              </a:graphicData>
            </a:graphic>
          </wp:inline>
        </w:drawing>
      </w:r>
    </w:p>
    <w:p w14:paraId="2A6A8EDD" w14:textId="52D268D8" w:rsidR="00D63B5D" w:rsidRPr="004D286F" w:rsidRDefault="00D63B5D" w:rsidP="00D63B5D">
      <w:pPr>
        <w:spacing w:before="100" w:beforeAutospacing="1" w:after="100" w:afterAutospacing="1" w:line="240" w:lineRule="auto"/>
        <w:rPr>
          <w:rFonts w:ascii="Arial" w:eastAsia="Times New Roman" w:hAnsi="Arial" w:cs="Arial"/>
          <w:b/>
          <w:bCs/>
          <w:noProof/>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3. Blockchain Technology:</w:t>
      </w:r>
    </w:p>
    <w:p w14:paraId="54F77FF6" w14:textId="77777777" w:rsidR="00D63B5D" w:rsidRPr="00D63B5D" w:rsidRDefault="00D63B5D" w:rsidP="00D63B5D">
      <w:pPr>
        <w:numPr>
          <w:ilvl w:val="0"/>
          <w:numId w:val="19"/>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Secure Transactions:</w:t>
      </w:r>
      <w:r w:rsidRPr="00D63B5D">
        <w:rPr>
          <w:rFonts w:ascii="Arial" w:eastAsia="Times New Roman" w:hAnsi="Arial" w:cs="Arial"/>
          <w:kern w:val="0"/>
          <w:sz w:val="28"/>
          <w:szCs w:val="28"/>
          <w:lang w:eastAsia="en-IN"/>
          <w14:ligatures w14:val="none"/>
        </w:rPr>
        <w:t xml:space="preserve"> Blockchain technology offers a secure and transparent way to record financial transactions. This could revolutionize areas like cross-border payments, trade finance, and recordkeeping.</w:t>
      </w:r>
    </w:p>
    <w:p w14:paraId="35F4EBBE" w14:textId="7777777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Case Study:</w:t>
      </w:r>
      <w:r w:rsidRPr="00D63B5D">
        <w:rPr>
          <w:rFonts w:ascii="Arial" w:eastAsia="Times New Roman" w:hAnsi="Arial" w:cs="Arial"/>
          <w:kern w:val="0"/>
          <w:sz w:val="28"/>
          <w:szCs w:val="28"/>
          <w:lang w:eastAsia="en-IN"/>
          <w14:ligatures w14:val="none"/>
        </w:rPr>
        <w:t xml:space="preserve"> Several banks are exploring the use of blockchain for international transactions. For example, JPMorgan Chase has developed its own blockchain platform, JPM Coin, to facilitate faster and more efficient cross-border payments.</w:t>
      </w:r>
    </w:p>
    <w:p w14:paraId="100496AB" w14:textId="77777777" w:rsidR="00D63B5D" w:rsidRPr="00D63B5D" w:rsidRDefault="00D63B5D" w:rsidP="00D63B5D">
      <w:pPr>
        <w:numPr>
          <w:ilvl w:val="0"/>
          <w:numId w:val="20"/>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Improved Efficiency:</w:t>
      </w:r>
      <w:r w:rsidRPr="00D63B5D">
        <w:rPr>
          <w:rFonts w:ascii="Arial" w:eastAsia="Times New Roman" w:hAnsi="Arial" w:cs="Arial"/>
          <w:kern w:val="0"/>
          <w:sz w:val="28"/>
          <w:szCs w:val="28"/>
          <w:lang w:eastAsia="en-IN"/>
          <w14:ligatures w14:val="none"/>
        </w:rPr>
        <w:t xml:space="preserve"> Blockchain can streamline processes by eliminating the need for intermediaries and reconciliation efforts, potentially saving time and costs.</w:t>
      </w:r>
    </w:p>
    <w:p w14:paraId="1B14CBE8" w14:textId="77777777" w:rsidR="00D63B5D" w:rsidRPr="00D63B5D" w:rsidRDefault="00D63B5D" w:rsidP="00D63B5D">
      <w:pPr>
        <w:numPr>
          <w:ilvl w:val="0"/>
          <w:numId w:val="20"/>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Regulatory Hurdles:</w:t>
      </w:r>
      <w:r w:rsidRPr="00D63B5D">
        <w:rPr>
          <w:rFonts w:ascii="Arial" w:eastAsia="Times New Roman" w:hAnsi="Arial" w:cs="Arial"/>
          <w:kern w:val="0"/>
          <w:sz w:val="28"/>
          <w:szCs w:val="28"/>
          <w:lang w:eastAsia="en-IN"/>
          <w14:ligatures w14:val="none"/>
        </w:rPr>
        <w:t xml:space="preserve"> Regulations around blockchain technology are still evolving. Clear legal frameworks are needed to ensure the widespread adoption and responsible use of this technology.</w:t>
      </w:r>
    </w:p>
    <w:p w14:paraId="07DF3616" w14:textId="7777777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4. The Rise of Cloud Computing:</w:t>
      </w:r>
    </w:p>
    <w:p w14:paraId="192AA351" w14:textId="77777777" w:rsidR="00D63B5D" w:rsidRPr="00D63B5D" w:rsidRDefault="00D63B5D" w:rsidP="00D63B5D">
      <w:pPr>
        <w:numPr>
          <w:ilvl w:val="0"/>
          <w:numId w:val="21"/>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Scalability and Agility:</w:t>
      </w:r>
      <w:r w:rsidRPr="00D63B5D">
        <w:rPr>
          <w:rFonts w:ascii="Arial" w:eastAsia="Times New Roman" w:hAnsi="Arial" w:cs="Arial"/>
          <w:kern w:val="0"/>
          <w:sz w:val="28"/>
          <w:szCs w:val="28"/>
          <w:lang w:eastAsia="en-IN"/>
          <w14:ligatures w14:val="none"/>
        </w:rPr>
        <w:t xml:space="preserve"> Cloud computing allows banks to scale their IT infrastructure up or down based on demand. This provides greater flexibility and agility to meet changing business needs.</w:t>
      </w:r>
    </w:p>
    <w:p w14:paraId="13C80C2E" w14:textId="1C372F20"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Data Point:</w:t>
      </w:r>
      <w:r w:rsidRPr="00D63B5D">
        <w:rPr>
          <w:rFonts w:ascii="Arial" w:eastAsia="Times New Roman" w:hAnsi="Arial" w:cs="Arial"/>
          <w:kern w:val="0"/>
          <w:sz w:val="28"/>
          <w:szCs w:val="28"/>
          <w:lang w:eastAsia="en-IN"/>
          <w14:ligatures w14:val="none"/>
        </w:rPr>
        <w:t xml:space="preserve"> A study by Gartner</w:t>
      </w:r>
      <w:r w:rsidRPr="00AF5B82">
        <w:rPr>
          <w:rFonts w:ascii="Arial" w:eastAsia="Times New Roman" w:hAnsi="Arial" w:cs="Arial"/>
          <w:kern w:val="0"/>
          <w:sz w:val="28"/>
          <w:szCs w:val="28"/>
          <w:lang w:eastAsia="en-IN"/>
          <w14:ligatures w14:val="none"/>
        </w:rPr>
        <w:t xml:space="preserve"> </w:t>
      </w:r>
      <w:r w:rsidRPr="00D63B5D">
        <w:rPr>
          <w:rFonts w:ascii="Arial" w:eastAsia="Times New Roman" w:hAnsi="Arial" w:cs="Arial"/>
          <w:kern w:val="0"/>
          <w:sz w:val="28"/>
          <w:szCs w:val="28"/>
          <w:lang w:eastAsia="en-IN"/>
          <w14:ligatures w14:val="none"/>
        </w:rPr>
        <w:t>predicts that by 2025, over 60% of bank IT spending will shift to cloud-based solutions.</w:t>
      </w:r>
    </w:p>
    <w:p w14:paraId="7C880B90" w14:textId="77777777" w:rsidR="00D63B5D" w:rsidRPr="00D63B5D" w:rsidRDefault="00D63B5D" w:rsidP="00D63B5D">
      <w:pPr>
        <w:numPr>
          <w:ilvl w:val="0"/>
          <w:numId w:val="22"/>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Cost Savings:</w:t>
      </w:r>
      <w:r w:rsidRPr="00D63B5D">
        <w:rPr>
          <w:rFonts w:ascii="Arial" w:eastAsia="Times New Roman" w:hAnsi="Arial" w:cs="Arial"/>
          <w:kern w:val="0"/>
          <w:sz w:val="28"/>
          <w:szCs w:val="28"/>
          <w:lang w:eastAsia="en-IN"/>
          <w14:ligatures w14:val="none"/>
        </w:rPr>
        <w:t xml:space="preserve"> Moving to the cloud can potentially reduce IT infrastructure costs for banks, freeing up resources for investments in innovation.</w:t>
      </w:r>
    </w:p>
    <w:p w14:paraId="0A307EC3" w14:textId="77777777" w:rsidR="00D63B5D" w:rsidRPr="00D63B5D" w:rsidRDefault="00D63B5D" w:rsidP="00D63B5D">
      <w:pPr>
        <w:numPr>
          <w:ilvl w:val="0"/>
          <w:numId w:val="22"/>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Security Concerns:</w:t>
      </w:r>
      <w:r w:rsidRPr="00D63B5D">
        <w:rPr>
          <w:rFonts w:ascii="Arial" w:eastAsia="Times New Roman" w:hAnsi="Arial" w:cs="Arial"/>
          <w:kern w:val="0"/>
          <w:sz w:val="28"/>
          <w:szCs w:val="28"/>
          <w:lang w:eastAsia="en-IN"/>
          <w14:ligatures w14:val="none"/>
        </w:rPr>
        <w:t xml:space="preserve"> Security breaches in the cloud can have severe consequences. Banks need to choose reputable cloud service providers with robust security measures.</w:t>
      </w:r>
    </w:p>
    <w:p w14:paraId="60A4589F" w14:textId="77777777" w:rsidR="00F3039B" w:rsidRDefault="00F3039B"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rFonts w:ascii="Arial" w:eastAsia="Times New Roman" w:hAnsi="Arial" w:cs="Arial"/>
          <w:b/>
          <w:bCs/>
          <w:noProof/>
          <w:kern w:val="0"/>
          <w:sz w:val="28"/>
          <w:szCs w:val="28"/>
          <w:lang w:eastAsia="en-IN"/>
          <w14:ligatures w14:val="none"/>
        </w:rPr>
        <w:drawing>
          <wp:inline distT="0" distB="0" distL="0" distR="0" wp14:anchorId="009B197B" wp14:editId="40412BFF">
            <wp:extent cx="5727700" cy="1911350"/>
            <wp:effectExtent l="0" t="0" r="6350" b="0"/>
            <wp:docPr id="3422095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8714" cy="1985103"/>
                    </a:xfrm>
                    <a:prstGeom prst="rect">
                      <a:avLst/>
                    </a:prstGeom>
                    <a:noFill/>
                  </pic:spPr>
                </pic:pic>
              </a:graphicData>
            </a:graphic>
          </wp:inline>
        </w:drawing>
      </w:r>
    </w:p>
    <w:p w14:paraId="017BC49A" w14:textId="68AA1995" w:rsidR="00D63B5D" w:rsidRPr="00F3039B" w:rsidRDefault="00D63B5D"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The Road Ahead: A More Personalized and Frictionless Banking Experience</w:t>
      </w:r>
      <w:r w:rsidR="00AF5B82">
        <w:rPr>
          <w:rFonts w:ascii="Arial" w:eastAsia="Times New Roman" w:hAnsi="Arial" w:cs="Arial"/>
          <w:b/>
          <w:bCs/>
          <w:kern w:val="0"/>
          <w:sz w:val="28"/>
          <w:szCs w:val="28"/>
          <w:lang w:eastAsia="en-IN"/>
          <w14:ligatures w14:val="none"/>
        </w:rPr>
        <w:t>:</w:t>
      </w:r>
    </w:p>
    <w:p w14:paraId="0431FF8C" w14:textId="7777777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kern w:val="0"/>
          <w:sz w:val="28"/>
          <w:szCs w:val="28"/>
          <w:lang w:eastAsia="en-IN"/>
          <w14:ligatures w14:val="none"/>
        </w:rPr>
        <w:t>As these trends continue to develop, we can expect a future where banking becomes even more:</w:t>
      </w:r>
    </w:p>
    <w:p w14:paraId="0D2548CC" w14:textId="77777777" w:rsidR="00D63B5D" w:rsidRPr="00D63B5D" w:rsidRDefault="00D63B5D" w:rsidP="00D63B5D">
      <w:pPr>
        <w:numPr>
          <w:ilvl w:val="0"/>
          <w:numId w:val="23"/>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Personalized:</w:t>
      </w:r>
      <w:r w:rsidRPr="00D63B5D">
        <w:rPr>
          <w:rFonts w:ascii="Arial" w:eastAsia="Times New Roman" w:hAnsi="Arial" w:cs="Arial"/>
          <w:kern w:val="0"/>
          <w:sz w:val="28"/>
          <w:szCs w:val="28"/>
          <w:lang w:eastAsia="en-IN"/>
          <w14:ligatures w14:val="none"/>
        </w:rPr>
        <w:t xml:space="preserve"> Financial institutions will leverage AI to anticipate customer needs and offer personalized financial advice or proactive solutions.</w:t>
      </w:r>
    </w:p>
    <w:p w14:paraId="6A667C27" w14:textId="77777777" w:rsidR="00D63B5D" w:rsidRPr="00D63B5D" w:rsidRDefault="00D63B5D" w:rsidP="00D63B5D">
      <w:pPr>
        <w:numPr>
          <w:ilvl w:val="0"/>
          <w:numId w:val="23"/>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Convenient:</w:t>
      </w:r>
      <w:r w:rsidRPr="00D63B5D">
        <w:rPr>
          <w:rFonts w:ascii="Arial" w:eastAsia="Times New Roman" w:hAnsi="Arial" w:cs="Arial"/>
          <w:kern w:val="0"/>
          <w:sz w:val="28"/>
          <w:szCs w:val="28"/>
          <w:lang w:eastAsia="en-IN"/>
          <w14:ligatures w14:val="none"/>
        </w:rPr>
        <w:t xml:space="preserve"> Biometric authentication (fingerprint, facial recognition) could become commonplace, enabling secure and seamless payments without the need for physical cards or codes.</w:t>
      </w:r>
    </w:p>
    <w:p w14:paraId="78B5CE05" w14:textId="3E02B11D" w:rsidR="00D63B5D" w:rsidRPr="00D63B5D" w:rsidRDefault="00D63B5D" w:rsidP="00D63B5D">
      <w:pPr>
        <w:numPr>
          <w:ilvl w:val="0"/>
          <w:numId w:val="23"/>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Frictionless:</w:t>
      </w:r>
      <w:r w:rsidRPr="00D63B5D">
        <w:rPr>
          <w:rFonts w:ascii="Arial" w:eastAsia="Times New Roman" w:hAnsi="Arial" w:cs="Arial"/>
          <w:kern w:val="0"/>
          <w:sz w:val="28"/>
          <w:szCs w:val="28"/>
          <w:lang w:eastAsia="en-IN"/>
          <w14:ligatures w14:val="none"/>
        </w:rPr>
        <w:t xml:space="preserve"> AI-powered tools could </w:t>
      </w:r>
      <w:r w:rsidRPr="00AF5B82">
        <w:rPr>
          <w:rFonts w:ascii="Arial" w:eastAsia="Times New Roman" w:hAnsi="Arial" w:cs="Arial"/>
          <w:kern w:val="0"/>
          <w:sz w:val="28"/>
          <w:szCs w:val="28"/>
          <w:lang w:eastAsia="en-IN"/>
          <w14:ligatures w14:val="none"/>
        </w:rPr>
        <w:t>analyse</w:t>
      </w:r>
      <w:r w:rsidRPr="00D63B5D">
        <w:rPr>
          <w:rFonts w:ascii="Arial" w:eastAsia="Times New Roman" w:hAnsi="Arial" w:cs="Arial"/>
          <w:kern w:val="0"/>
          <w:sz w:val="28"/>
          <w:szCs w:val="28"/>
          <w:lang w:eastAsia="en-IN"/>
          <w14:ligatures w14:val="none"/>
        </w:rPr>
        <w:t xml:space="preserve"> spending patterns and provide personalized budgeting and saving recommendations.</w:t>
      </w:r>
    </w:p>
    <w:p w14:paraId="71AD90C5" w14:textId="1A511C39"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Challenges and Considerations</w:t>
      </w:r>
      <w:r w:rsidR="00AF5B82">
        <w:rPr>
          <w:rFonts w:ascii="Arial" w:eastAsia="Times New Roman" w:hAnsi="Arial" w:cs="Arial"/>
          <w:b/>
          <w:bCs/>
          <w:kern w:val="0"/>
          <w:sz w:val="28"/>
          <w:szCs w:val="28"/>
          <w:lang w:eastAsia="en-IN"/>
          <w14:ligatures w14:val="none"/>
        </w:rPr>
        <w:t>:</w:t>
      </w:r>
    </w:p>
    <w:p w14:paraId="2A97D89E" w14:textId="77777777" w:rsidR="00D63B5D" w:rsidRPr="00D63B5D" w:rsidRDefault="00D63B5D" w:rsidP="00D63B5D">
      <w:pPr>
        <w:numPr>
          <w:ilvl w:val="0"/>
          <w:numId w:val="24"/>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Ensuring Data Privacy and Security:</w:t>
      </w:r>
      <w:r w:rsidRPr="00D63B5D">
        <w:rPr>
          <w:rFonts w:ascii="Arial" w:eastAsia="Times New Roman" w:hAnsi="Arial" w:cs="Arial"/>
          <w:kern w:val="0"/>
          <w:sz w:val="28"/>
          <w:szCs w:val="28"/>
          <w:lang w:eastAsia="en-IN"/>
          <w14:ligatures w14:val="none"/>
        </w:rPr>
        <w:t xml:space="preserve"> As technology advances, robust cybersecurity measures are essential to protect customer data from cyberattacks.</w:t>
      </w:r>
    </w:p>
    <w:p w14:paraId="1E5DF367" w14:textId="77777777" w:rsidR="00D63B5D" w:rsidRPr="00D63B5D" w:rsidRDefault="00D63B5D" w:rsidP="00D63B5D">
      <w:pPr>
        <w:numPr>
          <w:ilvl w:val="0"/>
          <w:numId w:val="24"/>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Promoting Financial Inclusion:</w:t>
      </w:r>
      <w:r w:rsidRPr="00D63B5D">
        <w:rPr>
          <w:rFonts w:ascii="Arial" w:eastAsia="Times New Roman" w:hAnsi="Arial" w:cs="Arial"/>
          <w:kern w:val="0"/>
          <w:sz w:val="28"/>
          <w:szCs w:val="28"/>
          <w:lang w:eastAsia="en-IN"/>
          <w14:ligatures w14:val="none"/>
        </w:rPr>
        <w:t xml:space="preserve"> The digital divide can create barriers to accessing these new technologies. Efforts to bridge the digital divide are crucial for ensuring everyone benefits from these advancements.</w:t>
      </w:r>
    </w:p>
    <w:p w14:paraId="154F6D45" w14:textId="77777777" w:rsidR="00D63B5D" w:rsidRPr="00D63B5D" w:rsidRDefault="00D63B5D" w:rsidP="00D63B5D">
      <w:pPr>
        <w:numPr>
          <w:ilvl w:val="0"/>
          <w:numId w:val="24"/>
        </w:num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b/>
          <w:bCs/>
          <w:kern w:val="0"/>
          <w:sz w:val="28"/>
          <w:szCs w:val="28"/>
          <w:lang w:eastAsia="en-IN"/>
          <w14:ligatures w14:val="none"/>
        </w:rPr>
        <w:t>The Evolving Role of Bank Employees:</w:t>
      </w:r>
      <w:r w:rsidRPr="00D63B5D">
        <w:rPr>
          <w:rFonts w:ascii="Arial" w:eastAsia="Times New Roman" w:hAnsi="Arial" w:cs="Arial"/>
          <w:kern w:val="0"/>
          <w:sz w:val="28"/>
          <w:szCs w:val="28"/>
          <w:lang w:eastAsia="en-IN"/>
          <w14:ligatures w14:val="none"/>
        </w:rPr>
        <w:t xml:space="preserve"> While technology automates tasks, human interaction will likely remain vital for building trust, offering personalized advice, and navigating complex financial situations.</w:t>
      </w:r>
    </w:p>
    <w:p w14:paraId="5132A05F" w14:textId="77777777" w:rsidR="00F161E5" w:rsidRDefault="009E4813"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Pr>
          <w:noProof/>
        </w:rPr>
        <w:drawing>
          <wp:inline distT="0" distB="0" distL="0" distR="0" wp14:anchorId="53F4430C" wp14:editId="2FA70F13">
            <wp:extent cx="5683250" cy="3067050"/>
            <wp:effectExtent l="0" t="0" r="0" b="0"/>
            <wp:docPr id="1671164847" name="Picture 5" descr="Nuvento | artificial intelligence in banking trends in u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vento | artificial intelligence in banking trends in us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692" cy="3082399"/>
                    </a:xfrm>
                    <a:prstGeom prst="rect">
                      <a:avLst/>
                    </a:prstGeom>
                    <a:noFill/>
                    <a:ln>
                      <a:noFill/>
                    </a:ln>
                  </pic:spPr>
                </pic:pic>
              </a:graphicData>
            </a:graphic>
          </wp:inline>
        </w:drawing>
      </w:r>
    </w:p>
    <w:p w14:paraId="231FA20C" w14:textId="2411929F" w:rsidR="00D63B5D" w:rsidRPr="009E4813" w:rsidRDefault="00D63B5D" w:rsidP="00D63B5D">
      <w:pPr>
        <w:spacing w:before="100" w:beforeAutospacing="1" w:after="100" w:afterAutospacing="1" w:line="240" w:lineRule="auto"/>
        <w:rPr>
          <w:rFonts w:ascii="Arial" w:eastAsia="Times New Roman" w:hAnsi="Arial" w:cs="Arial"/>
          <w:b/>
          <w:bCs/>
          <w:kern w:val="0"/>
          <w:sz w:val="28"/>
          <w:szCs w:val="28"/>
          <w:lang w:eastAsia="en-IN"/>
          <w14:ligatures w14:val="none"/>
        </w:rPr>
      </w:pPr>
      <w:r w:rsidRPr="00D63B5D">
        <w:rPr>
          <w:rFonts w:ascii="Arial" w:eastAsia="Times New Roman" w:hAnsi="Arial" w:cs="Arial"/>
          <w:b/>
          <w:bCs/>
          <w:kern w:val="0"/>
          <w:sz w:val="28"/>
          <w:szCs w:val="28"/>
          <w:lang w:eastAsia="en-IN"/>
          <w14:ligatures w14:val="none"/>
        </w:rPr>
        <w:lastRenderedPageBreak/>
        <w:t>Conclusion</w:t>
      </w:r>
      <w:r w:rsidR="00AF5B82">
        <w:rPr>
          <w:rFonts w:ascii="Arial" w:eastAsia="Times New Roman" w:hAnsi="Arial" w:cs="Arial"/>
          <w:b/>
          <w:bCs/>
          <w:kern w:val="0"/>
          <w:sz w:val="28"/>
          <w:szCs w:val="28"/>
          <w:lang w:eastAsia="en-IN"/>
          <w14:ligatures w14:val="none"/>
        </w:rPr>
        <w:t>:</w:t>
      </w:r>
    </w:p>
    <w:p w14:paraId="0F985FC2" w14:textId="77777777" w:rsidR="00D63B5D" w:rsidRPr="00D63B5D" w:rsidRDefault="00D63B5D" w:rsidP="00D63B5D">
      <w:pPr>
        <w:spacing w:before="100" w:beforeAutospacing="1" w:after="100" w:afterAutospacing="1" w:line="240" w:lineRule="auto"/>
        <w:rPr>
          <w:rFonts w:ascii="Arial" w:eastAsia="Times New Roman" w:hAnsi="Arial" w:cs="Arial"/>
          <w:kern w:val="0"/>
          <w:sz w:val="28"/>
          <w:szCs w:val="28"/>
          <w:lang w:eastAsia="en-IN"/>
          <w14:ligatures w14:val="none"/>
        </w:rPr>
      </w:pPr>
      <w:r w:rsidRPr="00D63B5D">
        <w:rPr>
          <w:rFonts w:ascii="Arial" w:eastAsia="Times New Roman" w:hAnsi="Arial" w:cs="Arial"/>
          <w:kern w:val="0"/>
          <w:sz w:val="28"/>
          <w:szCs w:val="28"/>
          <w:lang w:eastAsia="en-IN"/>
          <w14:ligatures w14:val="none"/>
        </w:rPr>
        <w:t>The future of the US banking sector is brimming with innovation. Emerging technologies like AI, blockchain, and cloud computing hold immense potential to personalize services, enhance convenience, and improve efficiency. However, navigating this technological frontier requires addressing challenges like data security, promoting financial inclusion, and ensuring a human touch remains in banking. By embracing these trends responsibly and fostering collaboration, the US banking sector can create a future that is not only efficient and secure, but also empowering and inclusive for all.</w:t>
      </w:r>
    </w:p>
    <w:p w14:paraId="046919F9" w14:textId="603F386A" w:rsidR="00B212C1" w:rsidRDefault="00F161E5">
      <w:pPr>
        <w:rPr>
          <w:rFonts w:ascii="Arial" w:hAnsi="Arial" w:cs="Arial"/>
          <w:sz w:val="28"/>
          <w:szCs w:val="28"/>
        </w:rPr>
      </w:pPr>
      <w:r>
        <w:rPr>
          <w:noProof/>
        </w:rPr>
        <w:drawing>
          <wp:inline distT="0" distB="0" distL="0" distR="0" wp14:anchorId="6A50E657" wp14:editId="5312E923">
            <wp:extent cx="5731510" cy="3809365"/>
            <wp:effectExtent l="0" t="0" r="2540" b="635"/>
            <wp:docPr id="254578501" name="Picture 21" descr="Banking recovery post COVID-19 - 6 trends to watch for | Netscri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nking recovery post COVID-19 - 6 trends to watch for | Netscrib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09365"/>
                    </a:xfrm>
                    <a:prstGeom prst="rect">
                      <a:avLst/>
                    </a:prstGeom>
                    <a:noFill/>
                    <a:ln>
                      <a:noFill/>
                    </a:ln>
                  </pic:spPr>
                </pic:pic>
              </a:graphicData>
            </a:graphic>
          </wp:inline>
        </w:drawing>
      </w:r>
    </w:p>
    <w:p w14:paraId="3EB0614E" w14:textId="3FBF2C31" w:rsidR="00F3039B" w:rsidRPr="00AF5B82" w:rsidRDefault="00F3039B">
      <w:pPr>
        <w:rPr>
          <w:rFonts w:ascii="Arial" w:hAnsi="Arial" w:cs="Arial"/>
          <w:sz w:val="28"/>
          <w:szCs w:val="28"/>
        </w:rPr>
      </w:pPr>
      <w:r>
        <w:rPr>
          <w:noProof/>
        </w:rPr>
        <w:drawing>
          <wp:inline distT="0" distB="0" distL="0" distR="0" wp14:anchorId="78B37E4E" wp14:editId="6B37EE81">
            <wp:extent cx="5715000" cy="2533650"/>
            <wp:effectExtent l="0" t="0" r="0" b="0"/>
            <wp:docPr id="575442941" name="Picture 25" descr="Exploring 2024's Top FinTech Trends: AI, DeFi, And Beyond – Ave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xploring 2024's Top FinTech Trends: AI, DeFi, And Beyond – Aveng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sectPr w:rsidR="00F3039B" w:rsidRPr="00AF5B82" w:rsidSect="00AE7B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67ACE"/>
    <w:multiLevelType w:val="multilevel"/>
    <w:tmpl w:val="2CBC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C7979"/>
    <w:multiLevelType w:val="multilevel"/>
    <w:tmpl w:val="CF42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CF3D8D"/>
    <w:multiLevelType w:val="multilevel"/>
    <w:tmpl w:val="0F5C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2E60B3"/>
    <w:multiLevelType w:val="multilevel"/>
    <w:tmpl w:val="F386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F0CD4"/>
    <w:multiLevelType w:val="multilevel"/>
    <w:tmpl w:val="A9B8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2264D"/>
    <w:multiLevelType w:val="multilevel"/>
    <w:tmpl w:val="0F66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F7B6C"/>
    <w:multiLevelType w:val="multilevel"/>
    <w:tmpl w:val="808C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6C0095"/>
    <w:multiLevelType w:val="multilevel"/>
    <w:tmpl w:val="07F0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62E8E"/>
    <w:multiLevelType w:val="multilevel"/>
    <w:tmpl w:val="608A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B62D3"/>
    <w:multiLevelType w:val="multilevel"/>
    <w:tmpl w:val="09045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4161A1"/>
    <w:multiLevelType w:val="multilevel"/>
    <w:tmpl w:val="5C38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6F39C0"/>
    <w:multiLevelType w:val="multilevel"/>
    <w:tmpl w:val="98CC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19159A"/>
    <w:multiLevelType w:val="multilevel"/>
    <w:tmpl w:val="C88AE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D2B4C"/>
    <w:multiLevelType w:val="multilevel"/>
    <w:tmpl w:val="6E2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B80F4A"/>
    <w:multiLevelType w:val="multilevel"/>
    <w:tmpl w:val="9948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241435"/>
    <w:multiLevelType w:val="multilevel"/>
    <w:tmpl w:val="B19A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45352A"/>
    <w:multiLevelType w:val="multilevel"/>
    <w:tmpl w:val="B822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EE6542"/>
    <w:multiLevelType w:val="multilevel"/>
    <w:tmpl w:val="AE9C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3C6057"/>
    <w:multiLevelType w:val="multilevel"/>
    <w:tmpl w:val="5A16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96284D"/>
    <w:multiLevelType w:val="multilevel"/>
    <w:tmpl w:val="9CF2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3A054D"/>
    <w:multiLevelType w:val="multilevel"/>
    <w:tmpl w:val="0420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51536B"/>
    <w:multiLevelType w:val="multilevel"/>
    <w:tmpl w:val="0360F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B67A57"/>
    <w:multiLevelType w:val="multilevel"/>
    <w:tmpl w:val="6A5CB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1166CF"/>
    <w:multiLevelType w:val="multilevel"/>
    <w:tmpl w:val="A7F2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14566D"/>
    <w:multiLevelType w:val="multilevel"/>
    <w:tmpl w:val="96CC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7911060">
    <w:abstractNumId w:val="0"/>
  </w:num>
  <w:num w:numId="2" w16cid:durableId="476609999">
    <w:abstractNumId w:val="21"/>
  </w:num>
  <w:num w:numId="3" w16cid:durableId="1509104239">
    <w:abstractNumId w:val="15"/>
  </w:num>
  <w:num w:numId="4" w16cid:durableId="1624846830">
    <w:abstractNumId w:val="16"/>
  </w:num>
  <w:num w:numId="5" w16cid:durableId="110441759">
    <w:abstractNumId w:val="8"/>
  </w:num>
  <w:num w:numId="6" w16cid:durableId="311523871">
    <w:abstractNumId w:val="7"/>
  </w:num>
  <w:num w:numId="7" w16cid:durableId="849225512">
    <w:abstractNumId w:val="13"/>
  </w:num>
  <w:num w:numId="8" w16cid:durableId="1926760808">
    <w:abstractNumId w:val="9"/>
  </w:num>
  <w:num w:numId="9" w16cid:durableId="573511053">
    <w:abstractNumId w:val="1"/>
  </w:num>
  <w:num w:numId="10" w16cid:durableId="1071149023">
    <w:abstractNumId w:val="20"/>
  </w:num>
  <w:num w:numId="11" w16cid:durableId="1747996541">
    <w:abstractNumId w:val="3"/>
  </w:num>
  <w:num w:numId="12" w16cid:durableId="224685207">
    <w:abstractNumId w:val="11"/>
  </w:num>
  <w:num w:numId="13" w16cid:durableId="615217820">
    <w:abstractNumId w:val="6"/>
  </w:num>
  <w:num w:numId="14" w16cid:durableId="136840757">
    <w:abstractNumId w:val="24"/>
  </w:num>
  <w:num w:numId="15" w16cid:durableId="1680279481">
    <w:abstractNumId w:val="4"/>
  </w:num>
  <w:num w:numId="16" w16cid:durableId="2007397107">
    <w:abstractNumId w:val="23"/>
  </w:num>
  <w:num w:numId="17" w16cid:durableId="810369457">
    <w:abstractNumId w:val="5"/>
  </w:num>
  <w:num w:numId="18" w16cid:durableId="1703286760">
    <w:abstractNumId w:val="19"/>
  </w:num>
  <w:num w:numId="19" w16cid:durableId="1723746147">
    <w:abstractNumId w:val="14"/>
  </w:num>
  <w:num w:numId="20" w16cid:durableId="987393259">
    <w:abstractNumId w:val="18"/>
  </w:num>
  <w:num w:numId="21" w16cid:durableId="702945259">
    <w:abstractNumId w:val="17"/>
  </w:num>
  <w:num w:numId="22" w16cid:durableId="589779645">
    <w:abstractNumId w:val="12"/>
  </w:num>
  <w:num w:numId="23" w16cid:durableId="427195006">
    <w:abstractNumId w:val="22"/>
  </w:num>
  <w:num w:numId="24" w16cid:durableId="1825511586">
    <w:abstractNumId w:val="2"/>
  </w:num>
  <w:num w:numId="25" w16cid:durableId="15461369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B5D"/>
    <w:rsid w:val="001E6398"/>
    <w:rsid w:val="004D286F"/>
    <w:rsid w:val="004F09B2"/>
    <w:rsid w:val="0092547A"/>
    <w:rsid w:val="00942674"/>
    <w:rsid w:val="009E4813"/>
    <w:rsid w:val="00A63751"/>
    <w:rsid w:val="00AE7B32"/>
    <w:rsid w:val="00AF3CE3"/>
    <w:rsid w:val="00AF5B82"/>
    <w:rsid w:val="00B212C1"/>
    <w:rsid w:val="00D16341"/>
    <w:rsid w:val="00D63B5D"/>
    <w:rsid w:val="00D72B9D"/>
    <w:rsid w:val="00F14918"/>
    <w:rsid w:val="00F161E5"/>
    <w:rsid w:val="00F3039B"/>
    <w:rsid w:val="00F35D4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2F8CA"/>
  <w15:chartTrackingRefBased/>
  <w15:docId w15:val="{F7156A3C-D079-468F-815F-BF722C7CA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63B5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3B5D"/>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D63B5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63B5D"/>
    <w:rPr>
      <w:b/>
      <w:bCs/>
    </w:rPr>
  </w:style>
  <w:style w:type="character" w:styleId="Hyperlink">
    <w:name w:val="Hyperlink"/>
    <w:basedOn w:val="DefaultParagraphFont"/>
    <w:uiPriority w:val="99"/>
    <w:semiHidden/>
    <w:unhideWhenUsed/>
    <w:rsid w:val="00D63B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1270823">
      <w:bodyDiv w:val="1"/>
      <w:marLeft w:val="0"/>
      <w:marRight w:val="0"/>
      <w:marTop w:val="0"/>
      <w:marBottom w:val="0"/>
      <w:divBdr>
        <w:top w:val="none" w:sz="0" w:space="0" w:color="auto"/>
        <w:left w:val="none" w:sz="0" w:space="0" w:color="auto"/>
        <w:bottom w:val="none" w:sz="0" w:space="0" w:color="auto"/>
        <w:right w:val="none" w:sz="0" w:space="0" w:color="auto"/>
      </w:divBdr>
    </w:div>
    <w:div w:id="1557741534">
      <w:bodyDiv w:val="1"/>
      <w:marLeft w:val="0"/>
      <w:marRight w:val="0"/>
      <w:marTop w:val="0"/>
      <w:marBottom w:val="0"/>
      <w:divBdr>
        <w:top w:val="none" w:sz="0" w:space="0" w:color="auto"/>
        <w:left w:val="none" w:sz="0" w:space="0" w:color="auto"/>
        <w:bottom w:val="none" w:sz="0" w:space="0" w:color="auto"/>
        <w:right w:val="none" w:sz="0" w:space="0" w:color="auto"/>
      </w:divBdr>
    </w:div>
    <w:div w:id="157971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14</Pages>
  <Words>1904</Words>
  <Characters>10856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Stuart</dc:creator>
  <cp:keywords/>
  <dc:description/>
  <cp:lastModifiedBy>Alan Stuart</cp:lastModifiedBy>
  <cp:revision>2</cp:revision>
  <dcterms:created xsi:type="dcterms:W3CDTF">2024-06-07T21:32:00Z</dcterms:created>
  <dcterms:modified xsi:type="dcterms:W3CDTF">2024-06-08T11:18:00Z</dcterms:modified>
</cp:coreProperties>
</file>