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80024cdh5u0" w:id="0"/>
      <w:bookmarkEnd w:id="0"/>
      <w:r w:rsidDel="00000000" w:rsidR="00000000" w:rsidRPr="00000000">
        <w:rPr>
          <w:rtl w:val="0"/>
        </w:rPr>
        <w:t xml:space="preserve">Loan default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analyses a dataset issued by AnalysisHorizon Financial Group with over 600 personal loans across 2024 and 2025. The company has noticed that roughly 1 in 4 loans are defaulting, which is well above their target of 12%.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overall average  default rate was 24.3 %. In the picture below you can see the different default rates per loan type, with Auto Loan, Home Improvement and Wedding are the types of loans with the highest default rate.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2437154"/>
            <wp:effectExtent b="0" l="0" r="0" t="0"/>
            <wp:docPr descr="Chart" id="3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43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highest risk factors for the loans under investigation are credit score, DTI ratio and interest rate.  The diagram below shows the relationship between credit score and default probability.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57588" cy="27409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74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Credit scores below 625 are significantly more likely to default.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interest rate has also a significant impact, as shown in the following diagram: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22282" cy="21744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282" cy="217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last factor with significant impact is the DTI ratio.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076205" cy="31405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205" cy="314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higher DTI ratio values the markers for defaulted loans and closed loans are closer together, therefore the default ratio increases.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loan amount has an impact as well, as seen in this diagram: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297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9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loan amount is not a great limiter, as large loans are closed with a reasonable probability.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we only consider loans with a credit score larger than 625 and an interest_rate smaller than 13.5 and a DTI ratio smaller than 60, then we can reduce the default percentage to 12.97%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detailed numbers can be found here: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portfolio/alex_the_analyst_loan_default.ipynb at main · Alan-Turing-33/portfolio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lan-Turing-33/portfolio/blob/main/alex_the_analyst_loan_default.ipynb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