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7CEF" w14:textId="77777777" w:rsidR="005B473B" w:rsidRDefault="00000000">
      <w:pPr>
        <w:spacing w:after="80"/>
        <w:jc w:val="center"/>
        <w:rPr>
          <w:rFonts w:hint="eastAsia"/>
        </w:rPr>
      </w:pPr>
      <w:r>
        <w:rPr>
          <w:b/>
          <w:color w:val="1F1F1F"/>
          <w:sz w:val="44"/>
        </w:rPr>
        <w:t>AI 动态追踪简要分析</w:t>
      </w:r>
    </w:p>
    <w:p w14:paraId="389B9DB7" w14:textId="77777777" w:rsidR="005B473B" w:rsidRDefault="00000000">
      <w:pPr>
        <w:spacing w:after="240"/>
        <w:jc w:val="center"/>
        <w:rPr>
          <w:rFonts w:hint="eastAsia"/>
        </w:rPr>
      </w:pPr>
      <w:r>
        <w:rPr>
          <w:color w:val="6F6F6F"/>
        </w:rPr>
        <w:t>基于实时网页模块与追踪结果的商业分析判断</w:t>
      </w:r>
    </w:p>
    <w:tbl>
      <w:tblPr>
        <w:tblW w:w="0" w:type="auto"/>
        <w:jc w:val="center"/>
        <w:tblLayout w:type="fixed"/>
        <w:tblLook w:val="04A0" w:firstRow="1" w:lastRow="0" w:firstColumn="1" w:lastColumn="0" w:noHBand="0" w:noVBand="1"/>
      </w:tblPr>
      <w:tblGrid>
        <w:gridCol w:w="9972"/>
      </w:tblGrid>
      <w:tr w:rsidR="005B473B" w14:paraId="6730BCC2" w14:textId="77777777">
        <w:trPr>
          <w:jc w:val="center"/>
        </w:trPr>
        <w:tc>
          <w:tcPr>
            <w:tcW w:w="9972" w:type="dxa"/>
            <w:shd w:val="clear" w:color="auto" w:fill="F1E5DA"/>
          </w:tcPr>
          <w:p w14:paraId="44FE347F" w14:textId="77777777" w:rsidR="005B473B" w:rsidRDefault="00000000">
            <w:pPr>
              <w:rPr>
                <w:rFonts w:hint="eastAsia"/>
              </w:rPr>
            </w:pPr>
            <w:r>
              <w:rPr>
                <w:b/>
                <w:color w:val="A14D1F"/>
              </w:rPr>
              <w:t>核心判断</w:t>
            </w:r>
          </w:p>
        </w:tc>
      </w:tr>
      <w:tr w:rsidR="005B473B" w14:paraId="78FAAF9C" w14:textId="77777777">
        <w:trPr>
          <w:jc w:val="center"/>
        </w:trPr>
        <w:tc>
          <w:tcPr>
            <w:tcW w:w="9972" w:type="dxa"/>
            <w:shd w:val="clear" w:color="auto" w:fill="FBF7F1"/>
          </w:tcPr>
          <w:p w14:paraId="53C64966" w14:textId="77777777" w:rsidR="005B473B" w:rsidRDefault="00000000">
            <w:pPr>
              <w:rPr>
                <w:rFonts w:hint="eastAsia"/>
              </w:rPr>
            </w:pPr>
            <w:r>
              <w:rPr>
                <w:color w:val="2C2C2C"/>
                <w:sz w:val="24"/>
              </w:rPr>
              <w:t>近几周 AI 产品竞争的核心变化，不是模型能力继续提升本身，而是头部厂商开始把竞争重心从“模型更强”转向“谁能更快占据工作流入口、形成产品闭环并建立生态控制力”。</w:t>
            </w:r>
          </w:p>
        </w:tc>
      </w:tr>
    </w:tbl>
    <w:p w14:paraId="442FE08B" w14:textId="77777777" w:rsidR="005B473B" w:rsidRDefault="005B473B">
      <w:pPr>
        <w:spacing w:after="160"/>
        <w:rPr>
          <w:rFonts w:hint="eastAsia"/>
        </w:rPr>
      </w:pPr>
    </w:p>
    <w:tbl>
      <w:tblPr>
        <w:tblW w:w="0" w:type="auto"/>
        <w:jc w:val="center"/>
        <w:tblLayout w:type="fixed"/>
        <w:tblLook w:val="04A0" w:firstRow="1" w:lastRow="0" w:firstColumn="1" w:lastColumn="0" w:noHBand="0" w:noVBand="1"/>
      </w:tblPr>
      <w:tblGrid>
        <w:gridCol w:w="3324"/>
        <w:gridCol w:w="3324"/>
        <w:gridCol w:w="3324"/>
      </w:tblGrid>
      <w:tr w:rsidR="005B473B" w14:paraId="57CCCBA6" w14:textId="77777777">
        <w:trPr>
          <w:jc w:val="center"/>
        </w:trPr>
        <w:tc>
          <w:tcPr>
            <w:tcW w:w="3324" w:type="dxa"/>
            <w:shd w:val="clear" w:color="auto" w:fill="EAF1EE"/>
          </w:tcPr>
          <w:p w14:paraId="7BC60B7C" w14:textId="77777777" w:rsidR="005B473B" w:rsidRDefault="00000000">
            <w:pPr>
              <w:jc w:val="center"/>
              <w:rPr>
                <w:rFonts w:hint="eastAsia"/>
              </w:rPr>
            </w:pPr>
            <w:r>
              <w:rPr>
                <w:b/>
                <w:color w:val="245D57"/>
                <w:sz w:val="20"/>
              </w:rPr>
              <w:t>竞争重心</w:t>
            </w:r>
          </w:p>
        </w:tc>
        <w:tc>
          <w:tcPr>
            <w:tcW w:w="3324" w:type="dxa"/>
            <w:shd w:val="clear" w:color="auto" w:fill="EAF1EE"/>
          </w:tcPr>
          <w:p w14:paraId="77B38FD3" w14:textId="77777777" w:rsidR="005B473B" w:rsidRDefault="00000000">
            <w:pPr>
              <w:jc w:val="center"/>
              <w:rPr>
                <w:rFonts w:hint="eastAsia"/>
              </w:rPr>
            </w:pPr>
            <w:r>
              <w:rPr>
                <w:b/>
                <w:color w:val="245D57"/>
                <w:sz w:val="20"/>
              </w:rPr>
              <w:t>海外主线</w:t>
            </w:r>
          </w:p>
        </w:tc>
        <w:tc>
          <w:tcPr>
            <w:tcW w:w="3324" w:type="dxa"/>
            <w:shd w:val="clear" w:color="auto" w:fill="EAF1EE"/>
          </w:tcPr>
          <w:p w14:paraId="3EA1948D" w14:textId="77777777" w:rsidR="005B473B" w:rsidRDefault="00000000">
            <w:pPr>
              <w:jc w:val="center"/>
              <w:rPr>
                <w:rFonts w:hint="eastAsia"/>
              </w:rPr>
            </w:pPr>
            <w:r>
              <w:rPr>
                <w:b/>
                <w:color w:val="245D57"/>
                <w:sz w:val="20"/>
              </w:rPr>
              <w:t>中期壁垒</w:t>
            </w:r>
          </w:p>
        </w:tc>
      </w:tr>
      <w:tr w:rsidR="005B473B" w14:paraId="72E910C0" w14:textId="77777777">
        <w:trPr>
          <w:jc w:val="center"/>
        </w:trPr>
        <w:tc>
          <w:tcPr>
            <w:tcW w:w="3324" w:type="dxa"/>
            <w:shd w:val="clear" w:color="auto" w:fill="FAFBFA"/>
          </w:tcPr>
          <w:p w14:paraId="66AD84C1" w14:textId="77777777" w:rsidR="005B473B" w:rsidRDefault="00000000">
            <w:pPr>
              <w:jc w:val="center"/>
              <w:rPr>
                <w:rFonts w:hint="eastAsia"/>
              </w:rPr>
            </w:pPr>
            <w:r>
              <w:rPr>
                <w:b/>
                <w:color w:val="1F1F1F"/>
              </w:rPr>
              <w:t>模型能力 -&gt; 工作流占位</w:t>
            </w:r>
          </w:p>
        </w:tc>
        <w:tc>
          <w:tcPr>
            <w:tcW w:w="3324" w:type="dxa"/>
            <w:shd w:val="clear" w:color="auto" w:fill="FAFBFA"/>
          </w:tcPr>
          <w:p w14:paraId="29CADE12" w14:textId="77777777" w:rsidR="005B473B" w:rsidRDefault="00000000">
            <w:pPr>
              <w:jc w:val="center"/>
              <w:rPr>
                <w:rFonts w:hint="eastAsia"/>
              </w:rPr>
            </w:pPr>
            <w:r>
              <w:rPr>
                <w:b/>
                <w:color w:val="1F1F1F"/>
              </w:rPr>
              <w:t>Agent / 多模态 / 开发入口</w:t>
            </w:r>
          </w:p>
        </w:tc>
        <w:tc>
          <w:tcPr>
            <w:tcW w:w="3324" w:type="dxa"/>
            <w:shd w:val="clear" w:color="auto" w:fill="FAFBFA"/>
          </w:tcPr>
          <w:p w14:paraId="66B618FA" w14:textId="77777777" w:rsidR="005B473B" w:rsidRDefault="00000000">
            <w:pPr>
              <w:jc w:val="center"/>
              <w:rPr>
                <w:rFonts w:hint="eastAsia"/>
              </w:rPr>
            </w:pPr>
            <w:r>
              <w:rPr>
                <w:b/>
                <w:color w:val="1F1F1F"/>
              </w:rPr>
              <w:t>入口 + 生态 + 交付效率</w:t>
            </w:r>
          </w:p>
        </w:tc>
      </w:tr>
    </w:tbl>
    <w:p w14:paraId="72347F19" w14:textId="77777777" w:rsidR="005B473B" w:rsidRDefault="005B473B">
      <w:pPr>
        <w:spacing w:after="120"/>
        <w:rPr>
          <w:rFonts w:hint="eastAsia"/>
        </w:rPr>
      </w:pPr>
    </w:p>
    <w:p w14:paraId="62FCCAE8" w14:textId="77777777" w:rsidR="005B473B" w:rsidRDefault="00000000">
      <w:pPr>
        <w:spacing w:after="120" w:line="348" w:lineRule="auto"/>
        <w:rPr>
          <w:rFonts w:hint="eastAsia"/>
        </w:rPr>
      </w:pPr>
      <w:r>
        <w:rPr>
          <w:sz w:val="24"/>
        </w:rPr>
        <w:t>这三个提炼指标对应的是三个不同层级的判断：竞争重心回答“当前市场到底在比什么”，海外主线回答“海外头部厂商最近集中在推进什么方向”，中期壁垒回答“未来 1 到 2 个季度真正可能拉开差距的能力是什么”。它们不是口号，而是把页面里的分散证据压缩成一个更适合管理视角快速理解的分析框架。</w:t>
      </w:r>
    </w:p>
    <w:p w14:paraId="1701049E" w14:textId="77777777" w:rsidR="005B473B" w:rsidRDefault="00000000">
      <w:pPr>
        <w:spacing w:before="200"/>
        <w:rPr>
          <w:rFonts w:hint="eastAsia"/>
        </w:rPr>
      </w:pPr>
      <w:r>
        <w:rPr>
          <w:b/>
          <w:color w:val="1F1F1F"/>
          <w:sz w:val="36"/>
        </w:rPr>
        <w:t>一、网页总览：当前追踪结果在告诉我什么</w:t>
      </w:r>
    </w:p>
    <w:p w14:paraId="1D1AEF2D" w14:textId="77777777" w:rsidR="005B473B" w:rsidRDefault="00000000">
      <w:pPr>
        <w:spacing w:after="120" w:line="348" w:lineRule="auto"/>
        <w:rPr>
          <w:rFonts w:hint="eastAsia"/>
        </w:rPr>
      </w:pPr>
      <w:r>
        <w:rPr>
          <w:sz w:val="24"/>
        </w:rPr>
        <w:t>页面首先给出的并不是零散资讯，而是一套从实时信号到趋势判断的结构：顶部状态栏说明系统在持续更新，LIVE DESK 告诉我当前市场最值得关注的高价值动态，趋势判断与证据信息把分散事件上升成结论，快讯流与来源池再把结论拉回事实层和来源层，日报与周报则把结果转化为可直接消费的分析输出。这种结构意味着，页面不是在展示“抓到了什么”，而是在组织“如何从这些信息里形成判断”。</w:t>
      </w:r>
    </w:p>
    <w:p w14:paraId="2D5659A8" w14:textId="77777777" w:rsidR="005B473B" w:rsidRDefault="00000000">
      <w:pPr>
        <w:spacing w:after="80"/>
        <w:jc w:val="center"/>
        <w:rPr>
          <w:rFonts w:hint="eastAsia"/>
        </w:rPr>
      </w:pPr>
      <w:r>
        <w:rPr>
          <w:noProof/>
        </w:rPr>
        <w:lastRenderedPageBreak/>
        <w:drawing>
          <wp:inline distT="0" distB="0" distL="0" distR="0" wp14:anchorId="1D67D3BA" wp14:editId="33325120">
            <wp:extent cx="5577840"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home.png"/>
                    <pic:cNvPicPr/>
                  </pic:nvPicPr>
                  <pic:blipFill>
                    <a:blip r:embed="rId8"/>
                    <a:stretch>
                      <a:fillRect/>
                    </a:stretch>
                  </pic:blipFill>
                  <pic:spPr>
                    <a:xfrm>
                      <a:off x="0" y="0"/>
                      <a:ext cx="5577840" cy="3137535"/>
                    </a:xfrm>
                    <a:prstGeom prst="rect">
                      <a:avLst/>
                    </a:prstGeom>
                  </pic:spPr>
                </pic:pic>
              </a:graphicData>
            </a:graphic>
          </wp:inline>
        </w:drawing>
      </w:r>
    </w:p>
    <w:p w14:paraId="64BA405F" w14:textId="77777777" w:rsidR="005B473B" w:rsidRDefault="00000000">
      <w:pPr>
        <w:jc w:val="center"/>
        <w:rPr>
          <w:rFonts w:hint="eastAsia"/>
        </w:rPr>
      </w:pPr>
      <w:r>
        <w:rPr>
          <w:color w:val="6F6F6F"/>
          <w:sz w:val="18"/>
        </w:rPr>
        <w:t>图 1 首页核心区域总览</w:t>
      </w:r>
    </w:p>
    <w:p w14:paraId="58445B25" w14:textId="77777777" w:rsidR="005B473B" w:rsidRDefault="00000000">
      <w:pPr>
        <w:spacing w:before="200"/>
        <w:rPr>
          <w:rFonts w:hint="eastAsia"/>
        </w:rPr>
      </w:pPr>
      <w:r>
        <w:rPr>
          <w:b/>
          <w:color w:val="1F1F1F"/>
          <w:sz w:val="36"/>
        </w:rPr>
        <w:t>二、实时追踪层：从状态栏与 LIVE DESK 识别主战场</w:t>
      </w:r>
    </w:p>
    <w:p w14:paraId="51698417" w14:textId="77777777" w:rsidR="005B473B" w:rsidRDefault="00000000">
      <w:pPr>
        <w:spacing w:after="120" w:line="348" w:lineRule="auto"/>
        <w:rPr>
          <w:rFonts w:hint="eastAsia"/>
        </w:rPr>
      </w:pPr>
      <w:r>
        <w:rPr>
          <w:sz w:val="24"/>
        </w:rPr>
        <w:t>顶部状态栏与 LIVE DESK 共同定义了“实时追踪”这一能力。状态栏负责说明结论的有效期，LIVE DESK 负责把近 3 小时、6 小时、12 小时内最值得关注的高价值动态压缩成少量卡片。当前卡片中反复出现 Google DeepMind、Anthropic、OpenAI 以及国内头部平台，说明高价值更新集中在少数头部玩家，而不是分散在泛资讯里。</w:t>
      </w:r>
    </w:p>
    <w:tbl>
      <w:tblPr>
        <w:tblW w:w="0" w:type="auto"/>
        <w:jc w:val="center"/>
        <w:tblLayout w:type="fixed"/>
        <w:tblLook w:val="04A0" w:firstRow="1" w:lastRow="0" w:firstColumn="1" w:lastColumn="0" w:noHBand="0" w:noVBand="1"/>
      </w:tblPr>
      <w:tblGrid>
        <w:gridCol w:w="4392"/>
        <w:gridCol w:w="4392"/>
      </w:tblGrid>
      <w:tr w:rsidR="005B473B" w14:paraId="2A9AA0EC" w14:textId="77777777">
        <w:trPr>
          <w:jc w:val="center"/>
        </w:trPr>
        <w:tc>
          <w:tcPr>
            <w:tcW w:w="4392" w:type="dxa"/>
            <w:vAlign w:val="center"/>
          </w:tcPr>
          <w:p w14:paraId="57FD448A" w14:textId="77777777" w:rsidR="005B473B" w:rsidRDefault="00000000">
            <w:pPr>
              <w:jc w:val="center"/>
              <w:rPr>
                <w:rFonts w:hint="eastAsia"/>
              </w:rPr>
            </w:pPr>
            <w:r>
              <w:rPr>
                <w:noProof/>
              </w:rPr>
              <w:drawing>
                <wp:inline distT="0" distB="0" distL="0" distR="0" wp14:anchorId="2C5F0833" wp14:editId="54CA629E">
                  <wp:extent cx="2651760" cy="44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bar.png"/>
                          <pic:cNvPicPr/>
                        </pic:nvPicPr>
                        <pic:blipFill>
                          <a:blip r:embed="rId9"/>
                          <a:stretch>
                            <a:fillRect/>
                          </a:stretch>
                        </pic:blipFill>
                        <pic:spPr>
                          <a:xfrm>
                            <a:off x="0" y="0"/>
                            <a:ext cx="2651760" cy="447725"/>
                          </a:xfrm>
                          <a:prstGeom prst="rect">
                            <a:avLst/>
                          </a:prstGeom>
                        </pic:spPr>
                      </pic:pic>
                    </a:graphicData>
                  </a:graphic>
                </wp:inline>
              </w:drawing>
            </w:r>
          </w:p>
          <w:p w14:paraId="2A3B4856" w14:textId="77777777" w:rsidR="005B473B" w:rsidRDefault="00000000">
            <w:pPr>
              <w:jc w:val="center"/>
              <w:rPr>
                <w:rFonts w:hint="eastAsia"/>
              </w:rPr>
            </w:pPr>
            <w:r>
              <w:rPr>
                <w:color w:val="6F6F6F"/>
                <w:sz w:val="18"/>
              </w:rPr>
              <w:t>图 2 顶部状态栏</w:t>
            </w:r>
          </w:p>
        </w:tc>
        <w:tc>
          <w:tcPr>
            <w:tcW w:w="4392" w:type="dxa"/>
            <w:vAlign w:val="center"/>
          </w:tcPr>
          <w:p w14:paraId="3F52DBCA" w14:textId="77777777" w:rsidR="005B473B" w:rsidRDefault="00000000">
            <w:pPr>
              <w:jc w:val="center"/>
              <w:rPr>
                <w:rFonts w:hint="eastAsia"/>
              </w:rPr>
            </w:pPr>
            <w:r>
              <w:rPr>
                <w:noProof/>
              </w:rPr>
              <w:drawing>
                <wp:inline distT="0" distB="0" distL="0" distR="0" wp14:anchorId="73363C49" wp14:editId="02B3A426">
                  <wp:extent cx="2651760" cy="4131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desk.png"/>
                          <pic:cNvPicPr/>
                        </pic:nvPicPr>
                        <pic:blipFill>
                          <a:blip r:embed="rId10"/>
                          <a:stretch>
                            <a:fillRect/>
                          </a:stretch>
                        </pic:blipFill>
                        <pic:spPr>
                          <a:xfrm>
                            <a:off x="0" y="0"/>
                            <a:ext cx="2651760" cy="413137"/>
                          </a:xfrm>
                          <a:prstGeom prst="rect">
                            <a:avLst/>
                          </a:prstGeom>
                        </pic:spPr>
                      </pic:pic>
                    </a:graphicData>
                  </a:graphic>
                </wp:inline>
              </w:drawing>
            </w:r>
          </w:p>
          <w:p w14:paraId="68C6B856" w14:textId="77777777" w:rsidR="005B473B" w:rsidRDefault="00000000">
            <w:pPr>
              <w:jc w:val="center"/>
              <w:rPr>
                <w:rFonts w:hint="eastAsia"/>
              </w:rPr>
            </w:pPr>
            <w:r>
              <w:rPr>
                <w:color w:val="6F6F6F"/>
                <w:sz w:val="18"/>
              </w:rPr>
              <w:t>图 3 LIVE DESK</w:t>
            </w:r>
          </w:p>
        </w:tc>
      </w:tr>
    </w:tbl>
    <w:p w14:paraId="091C43DF" w14:textId="77777777" w:rsidR="005B473B" w:rsidRDefault="005B473B">
      <w:pPr>
        <w:spacing w:after="120"/>
        <w:rPr>
          <w:rFonts w:hint="eastAsia"/>
        </w:rPr>
      </w:pPr>
    </w:p>
    <w:p w14:paraId="1C647617" w14:textId="77777777" w:rsidR="005B473B" w:rsidRDefault="00000000">
      <w:pPr>
        <w:spacing w:after="80" w:line="324" w:lineRule="auto"/>
        <w:ind w:left="283" w:hanging="170"/>
        <w:rPr>
          <w:rFonts w:hint="eastAsia"/>
        </w:rPr>
      </w:pPr>
      <w:r>
        <w:rPr>
          <w:color w:val="333333"/>
        </w:rPr>
        <w:t>- 状态栏解决的是“这份判断是否仍然有效”的问题，确保分析建立在最近一次成功更新的快照之上。</w:t>
      </w:r>
    </w:p>
    <w:p w14:paraId="55130D0C" w14:textId="77777777" w:rsidR="005B473B" w:rsidRDefault="00000000">
      <w:pPr>
        <w:spacing w:after="80" w:line="324" w:lineRule="auto"/>
        <w:ind w:left="283" w:hanging="170"/>
        <w:rPr>
          <w:rFonts w:hint="eastAsia"/>
        </w:rPr>
      </w:pPr>
      <w:r>
        <w:rPr>
          <w:color w:val="333333"/>
        </w:rPr>
        <w:t>- LIVE DESK 解决的是“此刻市场最值得看的是什么”的问题，体现系统不是平均对待所有信息，而是在主动偏向头部产品线和一手源。</w:t>
      </w:r>
    </w:p>
    <w:p w14:paraId="56E86425" w14:textId="77777777" w:rsidR="005B473B" w:rsidRDefault="00000000">
      <w:pPr>
        <w:spacing w:after="80" w:line="324" w:lineRule="auto"/>
        <w:ind w:left="283" w:hanging="170"/>
        <w:rPr>
          <w:rFonts w:hint="eastAsia"/>
        </w:rPr>
      </w:pPr>
      <w:r>
        <w:rPr>
          <w:color w:val="333333"/>
        </w:rPr>
        <w:lastRenderedPageBreak/>
        <w:t>- 从卡片内容看，市场高价值动态正集中在多模态、Agent、开发工具化和平台能力，而非单纯模型性能宣传。</w:t>
      </w:r>
    </w:p>
    <w:p w14:paraId="2C56B0AA" w14:textId="77777777" w:rsidR="005B473B" w:rsidRDefault="00000000">
      <w:pPr>
        <w:spacing w:before="200"/>
        <w:rPr>
          <w:rFonts w:hint="eastAsia"/>
        </w:rPr>
      </w:pPr>
      <w:r>
        <w:rPr>
          <w:b/>
          <w:color w:val="1F1F1F"/>
          <w:sz w:val="36"/>
        </w:rPr>
        <w:t>三、判断层：从趋势判断与证据信息看到结构性变化</w:t>
      </w:r>
    </w:p>
    <w:p w14:paraId="14C43FB4" w14:textId="77777777" w:rsidR="005B473B" w:rsidRDefault="00000000">
      <w:pPr>
        <w:spacing w:after="120" w:line="348" w:lineRule="auto"/>
        <w:rPr>
          <w:rFonts w:hint="eastAsia"/>
        </w:rPr>
      </w:pPr>
      <w:r>
        <w:rPr>
          <w:sz w:val="24"/>
        </w:rPr>
        <w:t>趋势判断模块给出的核心结论是，AI 产品竞争正从单点模型能力转向 Agent 执行、开发入口与多模态场景落地；证据信息模块则进一步展示了热门主题、热门公司、热门产品以及发布类和更新类的比例结构。两者结合后，可以看到近期行业变化并不是单条新闻的偶然叠加，而是多家头部厂商在同一方向上的同步推进。</w:t>
      </w:r>
    </w:p>
    <w:tbl>
      <w:tblPr>
        <w:tblW w:w="0" w:type="auto"/>
        <w:jc w:val="center"/>
        <w:tblLayout w:type="fixed"/>
        <w:tblLook w:val="04A0" w:firstRow="1" w:lastRow="0" w:firstColumn="1" w:lastColumn="0" w:noHBand="0" w:noVBand="1"/>
      </w:tblPr>
      <w:tblGrid>
        <w:gridCol w:w="4392"/>
        <w:gridCol w:w="4392"/>
      </w:tblGrid>
      <w:tr w:rsidR="005B473B" w14:paraId="4EEB4E83" w14:textId="77777777">
        <w:trPr>
          <w:jc w:val="center"/>
        </w:trPr>
        <w:tc>
          <w:tcPr>
            <w:tcW w:w="4392" w:type="dxa"/>
            <w:vAlign w:val="center"/>
          </w:tcPr>
          <w:p w14:paraId="47CC9CFB" w14:textId="77777777" w:rsidR="005B473B" w:rsidRDefault="00000000">
            <w:pPr>
              <w:jc w:val="center"/>
              <w:rPr>
                <w:rFonts w:hint="eastAsia"/>
              </w:rPr>
            </w:pPr>
            <w:r>
              <w:rPr>
                <w:noProof/>
              </w:rPr>
              <w:drawing>
                <wp:inline distT="0" distB="0" distL="0" distR="0" wp14:anchorId="40AD015F" wp14:editId="481A82DD">
                  <wp:extent cx="2697480" cy="4050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judgement.png"/>
                          <pic:cNvPicPr/>
                        </pic:nvPicPr>
                        <pic:blipFill>
                          <a:blip r:embed="rId11"/>
                          <a:stretch>
                            <a:fillRect/>
                          </a:stretch>
                        </pic:blipFill>
                        <pic:spPr>
                          <a:xfrm>
                            <a:off x="0" y="0"/>
                            <a:ext cx="2697480" cy="4050187"/>
                          </a:xfrm>
                          <a:prstGeom prst="rect">
                            <a:avLst/>
                          </a:prstGeom>
                        </pic:spPr>
                      </pic:pic>
                    </a:graphicData>
                  </a:graphic>
                </wp:inline>
              </w:drawing>
            </w:r>
          </w:p>
          <w:p w14:paraId="0FAF12B1" w14:textId="77777777" w:rsidR="005B473B" w:rsidRDefault="00000000">
            <w:pPr>
              <w:jc w:val="center"/>
              <w:rPr>
                <w:rFonts w:hint="eastAsia"/>
              </w:rPr>
            </w:pPr>
            <w:r>
              <w:rPr>
                <w:color w:val="6F6F6F"/>
                <w:sz w:val="18"/>
              </w:rPr>
              <w:t>图 4 趋势判断</w:t>
            </w:r>
          </w:p>
        </w:tc>
        <w:tc>
          <w:tcPr>
            <w:tcW w:w="4392" w:type="dxa"/>
            <w:vAlign w:val="center"/>
          </w:tcPr>
          <w:p w14:paraId="4A6CCB0B" w14:textId="77777777" w:rsidR="005B473B" w:rsidRDefault="00000000">
            <w:pPr>
              <w:jc w:val="center"/>
              <w:rPr>
                <w:rFonts w:hint="eastAsia"/>
              </w:rPr>
            </w:pPr>
            <w:r>
              <w:rPr>
                <w:noProof/>
              </w:rPr>
              <w:drawing>
                <wp:inline distT="0" distB="0" distL="0" distR="0" wp14:anchorId="3C1B319A" wp14:editId="7A4AA833">
                  <wp:extent cx="2697480" cy="4050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brief.png"/>
                          <pic:cNvPicPr/>
                        </pic:nvPicPr>
                        <pic:blipFill>
                          <a:blip r:embed="rId12"/>
                          <a:stretch>
                            <a:fillRect/>
                          </a:stretch>
                        </pic:blipFill>
                        <pic:spPr>
                          <a:xfrm>
                            <a:off x="0" y="0"/>
                            <a:ext cx="2697480" cy="4050187"/>
                          </a:xfrm>
                          <a:prstGeom prst="rect">
                            <a:avLst/>
                          </a:prstGeom>
                        </pic:spPr>
                      </pic:pic>
                    </a:graphicData>
                  </a:graphic>
                </wp:inline>
              </w:drawing>
            </w:r>
          </w:p>
          <w:p w14:paraId="4AB64E6B" w14:textId="77777777" w:rsidR="005B473B" w:rsidRDefault="00000000">
            <w:pPr>
              <w:jc w:val="center"/>
              <w:rPr>
                <w:rFonts w:hint="eastAsia"/>
              </w:rPr>
            </w:pPr>
            <w:r>
              <w:rPr>
                <w:color w:val="6F6F6F"/>
                <w:sz w:val="18"/>
              </w:rPr>
              <w:t>图 5 证据信息</w:t>
            </w:r>
          </w:p>
        </w:tc>
      </w:tr>
    </w:tbl>
    <w:p w14:paraId="342FEA28" w14:textId="77777777" w:rsidR="005B473B" w:rsidRDefault="005B473B">
      <w:pPr>
        <w:spacing w:after="120"/>
        <w:rPr>
          <w:rFonts w:hint="eastAsia"/>
        </w:rPr>
      </w:pPr>
    </w:p>
    <w:p w14:paraId="2D36CFF5" w14:textId="77777777" w:rsidR="005B473B" w:rsidRDefault="00000000">
      <w:pPr>
        <w:spacing w:after="80" w:line="324" w:lineRule="auto"/>
        <w:ind w:left="283" w:hanging="170"/>
        <w:rPr>
          <w:rFonts w:hint="eastAsia"/>
        </w:rPr>
      </w:pPr>
      <w:r>
        <w:rPr>
          <w:color w:val="333333"/>
        </w:rPr>
        <w:t>- 多模态、Agent、开发工具化反复出现，说明这些方向已具备行业主线特征，而不是个别公司的偶发动作。</w:t>
      </w:r>
    </w:p>
    <w:p w14:paraId="2AD4B229" w14:textId="77777777" w:rsidR="005B473B" w:rsidRDefault="00000000">
      <w:pPr>
        <w:spacing w:after="80" w:line="324" w:lineRule="auto"/>
        <w:ind w:left="283" w:hanging="170"/>
        <w:rPr>
          <w:rFonts w:hint="eastAsia"/>
        </w:rPr>
      </w:pPr>
      <w:r>
        <w:rPr>
          <w:color w:val="333333"/>
        </w:rPr>
        <w:lastRenderedPageBreak/>
        <w:t>- 发布类与更新类事件并行，说明行业已经从依赖单次大版本发布，转向高频更新和持续产品化。</w:t>
      </w:r>
    </w:p>
    <w:p w14:paraId="3CC3A5A9" w14:textId="77777777" w:rsidR="005B473B" w:rsidRDefault="00000000">
      <w:pPr>
        <w:spacing w:after="80" w:line="324" w:lineRule="auto"/>
        <w:ind w:left="283" w:hanging="170"/>
        <w:rPr>
          <w:rFonts w:hint="eastAsia"/>
        </w:rPr>
      </w:pPr>
      <w:r>
        <w:rPr>
          <w:color w:val="333333"/>
        </w:rPr>
        <w:t>- “为什么是现在”的答案在于：高价值动态的重心已经从“模型更强”切换成“模型如何进入工作流”。</w:t>
      </w:r>
    </w:p>
    <w:p w14:paraId="38B72B46" w14:textId="77777777" w:rsidR="005B473B" w:rsidRDefault="00000000">
      <w:pPr>
        <w:spacing w:before="200"/>
        <w:rPr>
          <w:rFonts w:hint="eastAsia"/>
        </w:rPr>
      </w:pPr>
      <w:r>
        <w:rPr>
          <w:b/>
          <w:color w:val="1F1F1F"/>
          <w:sz w:val="36"/>
        </w:rPr>
        <w:t>四、事实层：快讯流与来源池如何支撑商业判断</w:t>
      </w:r>
    </w:p>
    <w:p w14:paraId="6603DEF7" w14:textId="77777777" w:rsidR="005B473B" w:rsidRDefault="00000000">
      <w:pPr>
        <w:spacing w:after="120" w:line="348" w:lineRule="auto"/>
        <w:rPr>
          <w:rFonts w:hint="eastAsia"/>
        </w:rPr>
      </w:pPr>
      <w:r>
        <w:rPr>
          <w:sz w:val="24"/>
        </w:rPr>
        <w:t>实时快讯流把趋势判断重新拉回事件层，来源池则把数据质量和来源可信度显性化。快讯流中的卡片不仅展示标题和摘要，还给出来源等级、主题标签和主源链接；重点来源池则展示 source tier 与 source health。前者让我能够验证结论是否有足够多的事实支撑，后者让我能够判断这些事实来自哪里、可信度如何。</w:t>
      </w:r>
    </w:p>
    <w:tbl>
      <w:tblPr>
        <w:tblW w:w="0" w:type="auto"/>
        <w:jc w:val="center"/>
        <w:tblLayout w:type="fixed"/>
        <w:tblLook w:val="04A0" w:firstRow="1" w:lastRow="0" w:firstColumn="1" w:lastColumn="0" w:noHBand="0" w:noVBand="1"/>
      </w:tblPr>
      <w:tblGrid>
        <w:gridCol w:w="4392"/>
        <w:gridCol w:w="4392"/>
      </w:tblGrid>
      <w:tr w:rsidR="005B473B" w14:paraId="2B8F36DA" w14:textId="77777777">
        <w:trPr>
          <w:jc w:val="center"/>
        </w:trPr>
        <w:tc>
          <w:tcPr>
            <w:tcW w:w="4392" w:type="dxa"/>
            <w:vAlign w:val="center"/>
          </w:tcPr>
          <w:p w14:paraId="3D8D8EF6" w14:textId="77777777" w:rsidR="005B473B" w:rsidRDefault="00000000">
            <w:pPr>
              <w:jc w:val="center"/>
              <w:rPr>
                <w:rFonts w:hint="eastAsia"/>
              </w:rPr>
            </w:pPr>
            <w:r>
              <w:rPr>
                <w:noProof/>
              </w:rPr>
              <w:drawing>
                <wp:inline distT="0" distB="0" distL="0" distR="0" wp14:anchorId="1D23A2C4" wp14:editId="7B2804F4">
                  <wp:extent cx="2331720" cy="39006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stream-top.png"/>
                          <pic:cNvPicPr/>
                        </pic:nvPicPr>
                        <pic:blipFill>
                          <a:blip r:embed="rId13"/>
                          <a:stretch>
                            <a:fillRect/>
                          </a:stretch>
                        </pic:blipFill>
                        <pic:spPr>
                          <a:xfrm>
                            <a:off x="0" y="0"/>
                            <a:ext cx="2331720" cy="3900647"/>
                          </a:xfrm>
                          <a:prstGeom prst="rect">
                            <a:avLst/>
                          </a:prstGeom>
                        </pic:spPr>
                      </pic:pic>
                    </a:graphicData>
                  </a:graphic>
                </wp:inline>
              </w:drawing>
            </w:r>
          </w:p>
          <w:p w14:paraId="7AB2360D" w14:textId="77777777" w:rsidR="005B473B" w:rsidRDefault="00000000">
            <w:pPr>
              <w:jc w:val="center"/>
              <w:rPr>
                <w:rFonts w:hint="eastAsia"/>
              </w:rPr>
            </w:pPr>
            <w:r>
              <w:rPr>
                <w:color w:val="6F6F6F"/>
                <w:sz w:val="18"/>
              </w:rPr>
              <w:t>图 6 实时快讯流（上）</w:t>
            </w:r>
          </w:p>
        </w:tc>
        <w:tc>
          <w:tcPr>
            <w:tcW w:w="4392" w:type="dxa"/>
            <w:vAlign w:val="center"/>
          </w:tcPr>
          <w:p w14:paraId="21D083E4" w14:textId="77777777" w:rsidR="005B473B" w:rsidRDefault="00000000">
            <w:pPr>
              <w:jc w:val="center"/>
              <w:rPr>
                <w:rFonts w:hint="eastAsia"/>
              </w:rPr>
            </w:pPr>
            <w:r>
              <w:rPr>
                <w:noProof/>
              </w:rPr>
              <w:drawing>
                <wp:inline distT="0" distB="0" distL="0" distR="0" wp14:anchorId="4952F6FB" wp14:editId="0ED9DC38">
                  <wp:extent cx="2331720" cy="3900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stream-bottom.png"/>
                          <pic:cNvPicPr/>
                        </pic:nvPicPr>
                        <pic:blipFill>
                          <a:blip r:embed="rId14"/>
                          <a:stretch>
                            <a:fillRect/>
                          </a:stretch>
                        </pic:blipFill>
                        <pic:spPr>
                          <a:xfrm>
                            <a:off x="0" y="0"/>
                            <a:ext cx="2331720" cy="3900647"/>
                          </a:xfrm>
                          <a:prstGeom prst="rect">
                            <a:avLst/>
                          </a:prstGeom>
                        </pic:spPr>
                      </pic:pic>
                    </a:graphicData>
                  </a:graphic>
                </wp:inline>
              </w:drawing>
            </w:r>
          </w:p>
          <w:p w14:paraId="57607C59" w14:textId="77777777" w:rsidR="005B473B" w:rsidRDefault="00000000">
            <w:pPr>
              <w:jc w:val="center"/>
              <w:rPr>
                <w:rFonts w:hint="eastAsia"/>
              </w:rPr>
            </w:pPr>
            <w:r>
              <w:rPr>
                <w:color w:val="6F6F6F"/>
                <w:sz w:val="18"/>
              </w:rPr>
              <w:t>图 7 实时快讯流（下）</w:t>
            </w:r>
          </w:p>
        </w:tc>
      </w:tr>
    </w:tbl>
    <w:p w14:paraId="30381ED7" w14:textId="77777777" w:rsidR="005B473B" w:rsidRDefault="005B473B">
      <w:pPr>
        <w:spacing w:after="120"/>
        <w:rPr>
          <w:rFonts w:hint="eastAsia"/>
        </w:rPr>
      </w:pPr>
    </w:p>
    <w:p w14:paraId="7403E92E" w14:textId="77777777" w:rsidR="005B473B" w:rsidRDefault="00000000">
      <w:pPr>
        <w:spacing w:after="80"/>
        <w:jc w:val="center"/>
        <w:rPr>
          <w:rFonts w:hint="eastAsia"/>
        </w:rPr>
      </w:pPr>
      <w:r>
        <w:rPr>
          <w:noProof/>
        </w:rPr>
        <w:lastRenderedPageBreak/>
        <w:drawing>
          <wp:inline distT="0" distB="0" distL="0" distR="0" wp14:anchorId="56E20C6F" wp14:editId="42625CDC">
            <wp:extent cx="3296093" cy="7127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health.png"/>
                    <pic:cNvPicPr/>
                  </pic:nvPicPr>
                  <pic:blipFill>
                    <a:blip r:embed="rId15"/>
                    <a:stretch>
                      <a:fillRect/>
                    </a:stretch>
                  </pic:blipFill>
                  <pic:spPr>
                    <a:xfrm>
                      <a:off x="0" y="0"/>
                      <a:ext cx="3300211" cy="7136556"/>
                    </a:xfrm>
                    <a:prstGeom prst="rect">
                      <a:avLst/>
                    </a:prstGeom>
                  </pic:spPr>
                </pic:pic>
              </a:graphicData>
            </a:graphic>
          </wp:inline>
        </w:drawing>
      </w:r>
    </w:p>
    <w:p w14:paraId="55158A10" w14:textId="77777777" w:rsidR="005B473B" w:rsidRDefault="00000000">
      <w:pPr>
        <w:jc w:val="center"/>
        <w:rPr>
          <w:rFonts w:hint="eastAsia"/>
        </w:rPr>
      </w:pPr>
      <w:r>
        <w:rPr>
          <w:color w:val="6F6F6F"/>
          <w:sz w:val="18"/>
        </w:rPr>
        <w:t>图 8 重点来源池</w:t>
      </w:r>
    </w:p>
    <w:p w14:paraId="365E677F" w14:textId="77777777" w:rsidR="005B473B" w:rsidRDefault="00000000">
      <w:pPr>
        <w:spacing w:after="80" w:line="324" w:lineRule="auto"/>
        <w:ind w:left="283" w:hanging="170"/>
        <w:rPr>
          <w:rFonts w:hint="eastAsia"/>
        </w:rPr>
      </w:pPr>
      <w:r>
        <w:rPr>
          <w:color w:val="333333"/>
        </w:rPr>
        <w:t>- 横向看，不同公司在同一时间段围绕相似方向更新，说明行业共识正在形成。</w:t>
      </w:r>
    </w:p>
    <w:p w14:paraId="5EB54B40" w14:textId="77777777" w:rsidR="005B473B" w:rsidRDefault="00000000">
      <w:pPr>
        <w:spacing w:after="80" w:line="324" w:lineRule="auto"/>
        <w:ind w:left="283" w:hanging="170"/>
        <w:rPr>
          <w:rFonts w:hint="eastAsia"/>
        </w:rPr>
      </w:pPr>
      <w:r>
        <w:rPr>
          <w:color w:val="333333"/>
        </w:rPr>
        <w:t>- 纵向看，同一公司围绕同一方向持续推进，说明它不是试探，而是明确的产品战略。</w:t>
      </w:r>
    </w:p>
    <w:p w14:paraId="6C14C777" w14:textId="77777777" w:rsidR="005B473B" w:rsidRDefault="00000000">
      <w:pPr>
        <w:spacing w:after="80" w:line="324" w:lineRule="auto"/>
        <w:ind w:left="283" w:hanging="170"/>
        <w:rPr>
          <w:rFonts w:hint="eastAsia"/>
        </w:rPr>
      </w:pPr>
      <w:r>
        <w:rPr>
          <w:color w:val="333333"/>
        </w:rPr>
        <w:t>- 来源池让“数据质量”成为页面的一部分，使趋势判断不再是黑盒输出，而是有来源结构支撑的结论。</w:t>
      </w:r>
    </w:p>
    <w:p w14:paraId="74350BAD" w14:textId="77777777" w:rsidR="005B473B" w:rsidRDefault="00000000">
      <w:pPr>
        <w:spacing w:before="200"/>
        <w:rPr>
          <w:rFonts w:hint="eastAsia"/>
        </w:rPr>
      </w:pPr>
      <w:r>
        <w:rPr>
          <w:b/>
          <w:color w:val="1F1F1F"/>
          <w:sz w:val="36"/>
        </w:rPr>
        <w:lastRenderedPageBreak/>
        <w:t>五、输出层：日报与周报如何把追踪结果转成管理语言</w:t>
      </w:r>
    </w:p>
    <w:p w14:paraId="320DD7F8" w14:textId="77777777" w:rsidR="005B473B" w:rsidRDefault="00000000">
      <w:pPr>
        <w:spacing w:after="120" w:line="348" w:lineRule="auto"/>
        <w:rPr>
          <w:rFonts w:hint="eastAsia"/>
        </w:rPr>
      </w:pPr>
      <w:r>
        <w:rPr>
          <w:sz w:val="24"/>
        </w:rPr>
        <w:t>实时日报解决的是短周期判断问题，帮助快速回答“今天最值得关注的变化是什么”；趋势周报解决的是阶段复盘问题，帮助回答“最近几周究竟在往哪里变化”。日报关注节奏，周报关注方向，两者结合后，页面就形成了从实时信息到阶段性判断的完整输出层。</w:t>
      </w:r>
    </w:p>
    <w:tbl>
      <w:tblPr>
        <w:tblW w:w="0" w:type="auto"/>
        <w:jc w:val="center"/>
        <w:tblLayout w:type="fixed"/>
        <w:tblLook w:val="04A0" w:firstRow="1" w:lastRow="0" w:firstColumn="1" w:lastColumn="0" w:noHBand="0" w:noVBand="1"/>
      </w:tblPr>
      <w:tblGrid>
        <w:gridCol w:w="4392"/>
        <w:gridCol w:w="4392"/>
      </w:tblGrid>
      <w:tr w:rsidR="005B473B" w14:paraId="6701D57B" w14:textId="77777777">
        <w:trPr>
          <w:jc w:val="center"/>
        </w:trPr>
        <w:tc>
          <w:tcPr>
            <w:tcW w:w="4392" w:type="dxa"/>
            <w:vAlign w:val="center"/>
          </w:tcPr>
          <w:p w14:paraId="58232321" w14:textId="77777777" w:rsidR="005B473B" w:rsidRDefault="00000000">
            <w:pPr>
              <w:jc w:val="center"/>
              <w:rPr>
                <w:rFonts w:hint="eastAsia"/>
              </w:rPr>
            </w:pPr>
            <w:r>
              <w:rPr>
                <w:noProof/>
              </w:rPr>
              <w:drawing>
                <wp:inline distT="0" distB="0" distL="0" distR="0" wp14:anchorId="676B282E" wp14:editId="191AF204">
                  <wp:extent cx="2126725" cy="6251944"/>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brief.png"/>
                          <pic:cNvPicPr/>
                        </pic:nvPicPr>
                        <pic:blipFill>
                          <a:blip r:embed="rId16"/>
                          <a:stretch>
                            <a:fillRect/>
                          </a:stretch>
                        </pic:blipFill>
                        <pic:spPr>
                          <a:xfrm>
                            <a:off x="0" y="0"/>
                            <a:ext cx="2133086" cy="6270644"/>
                          </a:xfrm>
                          <a:prstGeom prst="rect">
                            <a:avLst/>
                          </a:prstGeom>
                        </pic:spPr>
                      </pic:pic>
                    </a:graphicData>
                  </a:graphic>
                </wp:inline>
              </w:drawing>
            </w:r>
          </w:p>
          <w:p w14:paraId="57078141" w14:textId="77777777" w:rsidR="005B473B" w:rsidRDefault="00000000">
            <w:pPr>
              <w:jc w:val="center"/>
              <w:rPr>
                <w:rFonts w:hint="eastAsia"/>
              </w:rPr>
            </w:pPr>
            <w:r>
              <w:rPr>
                <w:color w:val="6F6F6F"/>
                <w:sz w:val="18"/>
              </w:rPr>
              <w:t>图 9 实时日报</w:t>
            </w:r>
          </w:p>
        </w:tc>
        <w:tc>
          <w:tcPr>
            <w:tcW w:w="4392" w:type="dxa"/>
            <w:vAlign w:val="center"/>
          </w:tcPr>
          <w:p w14:paraId="55F67367" w14:textId="77777777" w:rsidR="005B473B" w:rsidRDefault="00000000">
            <w:pPr>
              <w:jc w:val="center"/>
              <w:rPr>
                <w:rFonts w:hint="eastAsia"/>
              </w:rPr>
            </w:pPr>
            <w:r>
              <w:rPr>
                <w:noProof/>
              </w:rPr>
              <w:drawing>
                <wp:inline distT="0" distB="0" distL="0" distR="0" wp14:anchorId="0BE3AA95" wp14:editId="65C80D58">
                  <wp:extent cx="2130341" cy="6262576"/>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outlook.png"/>
                          <pic:cNvPicPr/>
                        </pic:nvPicPr>
                        <pic:blipFill>
                          <a:blip r:embed="rId17"/>
                          <a:stretch>
                            <a:fillRect/>
                          </a:stretch>
                        </pic:blipFill>
                        <pic:spPr>
                          <a:xfrm>
                            <a:off x="0" y="0"/>
                            <a:ext cx="2136985" cy="6282107"/>
                          </a:xfrm>
                          <a:prstGeom prst="rect">
                            <a:avLst/>
                          </a:prstGeom>
                        </pic:spPr>
                      </pic:pic>
                    </a:graphicData>
                  </a:graphic>
                </wp:inline>
              </w:drawing>
            </w:r>
          </w:p>
          <w:p w14:paraId="6AB6199F" w14:textId="77777777" w:rsidR="005B473B" w:rsidRDefault="00000000">
            <w:pPr>
              <w:jc w:val="center"/>
              <w:rPr>
                <w:rFonts w:hint="eastAsia"/>
              </w:rPr>
            </w:pPr>
            <w:r>
              <w:rPr>
                <w:color w:val="6F6F6F"/>
                <w:sz w:val="18"/>
              </w:rPr>
              <w:t>图 10 趋势周报</w:t>
            </w:r>
          </w:p>
        </w:tc>
      </w:tr>
    </w:tbl>
    <w:p w14:paraId="4C67BF07" w14:textId="77777777" w:rsidR="005B473B" w:rsidRDefault="005B473B">
      <w:pPr>
        <w:spacing w:after="120"/>
        <w:rPr>
          <w:rFonts w:hint="eastAsia"/>
        </w:rPr>
      </w:pPr>
    </w:p>
    <w:p w14:paraId="4318463C" w14:textId="77777777" w:rsidR="005B473B" w:rsidRDefault="00000000">
      <w:pPr>
        <w:spacing w:after="80" w:line="324" w:lineRule="auto"/>
        <w:ind w:left="283" w:hanging="170"/>
        <w:rPr>
          <w:rFonts w:hint="eastAsia"/>
        </w:rPr>
      </w:pPr>
      <w:r>
        <w:rPr>
          <w:color w:val="333333"/>
        </w:rPr>
        <w:t>- 日报适合识别当天最关键的竞争变化，帮助高频沟通和快速决策。</w:t>
      </w:r>
    </w:p>
    <w:p w14:paraId="154B4BB5" w14:textId="77777777" w:rsidR="005B473B" w:rsidRDefault="00000000">
      <w:pPr>
        <w:spacing w:after="80" w:line="324" w:lineRule="auto"/>
        <w:ind w:left="283" w:hanging="170"/>
        <w:rPr>
          <w:rFonts w:hint="eastAsia"/>
        </w:rPr>
      </w:pPr>
      <w:r>
        <w:rPr>
          <w:color w:val="333333"/>
        </w:rPr>
        <w:t>- 周报适合区分短期波动和中期趋势，帮助把连续信号沉淀为阶段性判断。</w:t>
      </w:r>
    </w:p>
    <w:p w14:paraId="04A4256A" w14:textId="77777777" w:rsidR="005B473B" w:rsidRDefault="00000000">
      <w:pPr>
        <w:spacing w:after="80" w:line="324" w:lineRule="auto"/>
        <w:ind w:left="283" w:hanging="170"/>
        <w:rPr>
          <w:rFonts w:hint="eastAsia"/>
        </w:rPr>
      </w:pPr>
      <w:r>
        <w:rPr>
          <w:color w:val="333333"/>
        </w:rPr>
        <w:t>- 输出层的存在，让这个工具不仅能追踪信息，还能直接服务分析和汇报场景。</w:t>
      </w:r>
    </w:p>
    <w:p w14:paraId="283C1200" w14:textId="77777777" w:rsidR="005B473B" w:rsidRDefault="00000000">
      <w:pPr>
        <w:spacing w:before="200"/>
        <w:rPr>
          <w:rFonts w:hint="eastAsia"/>
        </w:rPr>
      </w:pPr>
      <w:r>
        <w:rPr>
          <w:b/>
          <w:color w:val="1F1F1F"/>
          <w:sz w:val="36"/>
        </w:rPr>
        <w:t>六、商业分析判断：从页面证据得出的结论</w:t>
      </w:r>
    </w:p>
    <w:p w14:paraId="238B5036" w14:textId="77777777" w:rsidR="005B473B" w:rsidRDefault="00000000">
      <w:pPr>
        <w:spacing w:before="160" w:after="160"/>
        <w:rPr>
          <w:rFonts w:hint="eastAsia"/>
        </w:rPr>
      </w:pPr>
      <w:r>
        <w:rPr>
          <w:b/>
          <w:color w:val="245D57"/>
          <w:sz w:val="30"/>
        </w:rPr>
        <w:t>1. 核心变化：竞争已经从模型能力竞赛转向产品化落地竞赛</w:t>
      </w:r>
    </w:p>
    <w:p w14:paraId="3290E2A9" w14:textId="77777777" w:rsidR="005B473B" w:rsidRDefault="00000000">
      <w:pPr>
        <w:spacing w:after="120" w:line="348" w:lineRule="auto"/>
        <w:rPr>
          <w:rFonts w:hint="eastAsia"/>
        </w:rPr>
      </w:pPr>
      <w:r>
        <w:rPr>
          <w:sz w:val="24"/>
        </w:rPr>
        <w:t>综合 LIVE DESK、趋势判断、证据信息和快讯流，可以看到当前最明显的变化并不是模型参数继续膨胀，而是头部厂商围绕 Agent、多模态、开发工具链和平台接入不断加速更新。行业竞争单位已经从“模型能力”切换成“产品能力”。真正重要的不再是模型本身多强，而是它能否进入工作流、形成高频使用、被开发者和企业快速接入。</w:t>
      </w:r>
    </w:p>
    <w:p w14:paraId="7B544C53" w14:textId="77777777" w:rsidR="005B473B" w:rsidRDefault="00000000">
      <w:pPr>
        <w:spacing w:before="160" w:after="160"/>
        <w:rPr>
          <w:rFonts w:hint="eastAsia"/>
        </w:rPr>
      </w:pPr>
      <w:r>
        <w:rPr>
          <w:b/>
          <w:color w:val="245D57"/>
          <w:sz w:val="30"/>
        </w:rPr>
        <w:t>2. 为什么是现在：市场已经从“单次发布”进入“持续迭代”</w:t>
      </w:r>
    </w:p>
    <w:p w14:paraId="6C0111AC" w14:textId="77777777" w:rsidR="005B473B" w:rsidRDefault="00000000">
      <w:pPr>
        <w:spacing w:after="120" w:line="348" w:lineRule="auto"/>
        <w:rPr>
          <w:rFonts w:hint="eastAsia"/>
        </w:rPr>
      </w:pPr>
      <w:r>
        <w:rPr>
          <w:sz w:val="24"/>
        </w:rPr>
        <w:t>最近这段时间值得重点关注，不是因为新闻更多，而是因为高价值事件的构成变了。页面中的高价值动态既有发布类，也有大量更新类、接入类、平台类动作，这表明竞争正在从“靠大版本发布制造声量”转向“通过持续更新抢占工作流和使用入口”。这类变化通常意味着行业已经从实验期走向执行期，比较的不再只是“谁能做出来”，而是“谁能更快部署、谁能更持续更新、谁能更稳定进入真实使用场景”。</w:t>
      </w:r>
    </w:p>
    <w:p w14:paraId="000FE7B4" w14:textId="77777777" w:rsidR="005B473B" w:rsidRDefault="00000000">
      <w:pPr>
        <w:spacing w:before="160" w:after="160"/>
        <w:rPr>
          <w:rFonts w:hint="eastAsia"/>
        </w:rPr>
      </w:pPr>
      <w:r>
        <w:rPr>
          <w:b/>
          <w:color w:val="245D57"/>
          <w:sz w:val="30"/>
        </w:rPr>
        <w:t>3. 海外与国内差异：一个更强调入口，一个更强调落地</w:t>
      </w:r>
    </w:p>
    <w:p w14:paraId="7D388D5F" w14:textId="77777777" w:rsidR="005B473B" w:rsidRDefault="00000000">
      <w:pPr>
        <w:spacing w:after="120" w:line="348" w:lineRule="auto"/>
        <w:rPr>
          <w:rFonts w:hint="eastAsia"/>
        </w:rPr>
      </w:pPr>
      <w:r>
        <w:rPr>
          <w:sz w:val="24"/>
        </w:rPr>
        <w:t>页面中的海外高价值动态，更多集中在 OpenAI、Anthropic、Google DeepMind、Cursor 等主体，更新方向高度集中于 Agent、多模态和开发工具化。这说明海外头部厂商更像是在争夺下一代通用工作入口，竞争重点是让模型进入开发、办公、创作等高频场景，并进一步形成生态控制力。相比之下，国内信号更多体现为平台开放、产品页更新、接口能力和企业承接，</w:t>
      </w:r>
      <w:r>
        <w:rPr>
          <w:sz w:val="24"/>
        </w:rPr>
        <w:lastRenderedPageBreak/>
        <w:t>说明国内厂商的竞争逻辑更贴近商业化落地阶段，即如何把能力更快装进业务系统，提高交付效率并形成更强的场景适配能力。</w:t>
      </w:r>
    </w:p>
    <w:p w14:paraId="7D94836D" w14:textId="77777777" w:rsidR="005B473B" w:rsidRDefault="00000000">
      <w:pPr>
        <w:spacing w:before="160" w:after="160"/>
        <w:rPr>
          <w:rFonts w:hint="eastAsia"/>
        </w:rPr>
      </w:pPr>
      <w:r>
        <w:rPr>
          <w:b/>
          <w:color w:val="245D57"/>
          <w:sz w:val="30"/>
        </w:rPr>
        <w:t>4. 商业含义：竞争壁垒正在从“技术领先”迁移到“入口、生态和交付效率”</w:t>
      </w:r>
    </w:p>
    <w:p w14:paraId="4582D546" w14:textId="77777777" w:rsidR="005B473B" w:rsidRDefault="00000000">
      <w:pPr>
        <w:spacing w:after="120" w:line="348" w:lineRule="auto"/>
        <w:rPr>
          <w:rFonts w:hint="eastAsia"/>
        </w:rPr>
      </w:pPr>
      <w:r>
        <w:rPr>
          <w:sz w:val="24"/>
        </w:rPr>
        <w:t>对用户侧而言，竞争重点已经从“新鲜感”变成“使用频率和留存”；只有进入高频工作流，模型能力才会真正转化成用户价值。对企业侧而言，竞争重点已经从“模型能不能用”变成“能否快速接入、稳定集成并形成业务闭环”；企业客户更关注可接入性、可交付性和持续更新能力。对厂商侧而言，更新频率本身已经变成一种竞争信号，因为它意味着产品正在主动争夺心智、场景和开发者注意力。</w:t>
      </w:r>
    </w:p>
    <w:p w14:paraId="473CAED4" w14:textId="77777777" w:rsidR="005B473B" w:rsidRDefault="00000000">
      <w:pPr>
        <w:spacing w:before="160" w:after="160"/>
        <w:rPr>
          <w:rFonts w:hint="eastAsia"/>
        </w:rPr>
      </w:pPr>
      <w:r>
        <w:rPr>
          <w:b/>
          <w:color w:val="245D57"/>
          <w:sz w:val="30"/>
        </w:rPr>
        <w:t>5. 短期与中期判断：未来看什么最重要</w:t>
      </w:r>
    </w:p>
    <w:p w14:paraId="7E0BD108" w14:textId="77777777" w:rsidR="005B473B" w:rsidRDefault="00000000">
      <w:pPr>
        <w:spacing w:after="80" w:line="324" w:lineRule="auto"/>
        <w:ind w:left="283" w:hanging="170"/>
        <w:rPr>
          <w:rFonts w:hint="eastAsia"/>
        </w:rPr>
      </w:pPr>
      <w:r>
        <w:rPr>
          <w:color w:val="333333"/>
        </w:rPr>
        <w:t>- 短期判断（未来 1-3 个月）：最值得持续追踪的，不会只是新模型数量，而是围绕 Agent、多模态、开发工具化和企业接入的更新频率。谁更新得更快、谁更频繁进入工作流、谁更持续出现在官方源和 docs / release 层，谁就更可能获得下一轮产品心智优势。</w:t>
      </w:r>
    </w:p>
    <w:p w14:paraId="265F0DD4" w14:textId="77777777" w:rsidR="005B473B" w:rsidRDefault="00000000">
      <w:pPr>
        <w:spacing w:after="80" w:line="324" w:lineRule="auto"/>
        <w:ind w:left="283" w:hanging="170"/>
        <w:rPr>
          <w:rFonts w:hint="eastAsia"/>
        </w:rPr>
      </w:pPr>
      <w:r>
        <w:rPr>
          <w:color w:val="333333"/>
        </w:rPr>
        <w:t>- 中期判断（未来 1-2 个季度）：真正可能拉开差距的，不会只是模型性能，而更可能是“入口 + 生态 + 企业接入 + 交付效率”的综合优势。中期胜负手不会只出现在底层模型，而会出现在谁更快形成产品闭环、谁更强控制工作流、谁更早把平台化能力变成稳定商业价值。</w:t>
      </w:r>
    </w:p>
    <w:p w14:paraId="27A2437A" w14:textId="77777777" w:rsidR="005B473B" w:rsidRDefault="00000000">
      <w:pPr>
        <w:spacing w:after="80" w:line="324" w:lineRule="auto"/>
        <w:ind w:left="283" w:hanging="170"/>
        <w:rPr>
          <w:rFonts w:hint="eastAsia"/>
        </w:rPr>
      </w:pPr>
      <w:r>
        <w:rPr>
          <w:color w:val="333333"/>
        </w:rPr>
        <w:t>- 证据最强的方向是多模态、Agent 和开发工具化，因为它们同时出现在实时层、判断层和输出层；企业化与平台化虽然已出现，但更适合定义为重点观察方向，而非已经完全定型的主线。</w:t>
      </w:r>
    </w:p>
    <w:p w14:paraId="17036169" w14:textId="77777777" w:rsidR="005B473B" w:rsidRDefault="00000000">
      <w:pPr>
        <w:spacing w:before="200"/>
        <w:rPr>
          <w:rFonts w:hint="eastAsia"/>
        </w:rPr>
      </w:pPr>
      <w:r>
        <w:rPr>
          <w:b/>
          <w:color w:val="1F1F1F"/>
          <w:sz w:val="36"/>
        </w:rPr>
        <w:t>七、网页设计本身的优势</w:t>
      </w:r>
    </w:p>
    <w:p w14:paraId="77BCB48F" w14:textId="77777777" w:rsidR="005B473B" w:rsidRDefault="00000000">
      <w:pPr>
        <w:spacing w:after="120" w:line="348" w:lineRule="auto"/>
        <w:rPr>
          <w:rFonts w:hint="eastAsia"/>
        </w:rPr>
      </w:pPr>
      <w:r>
        <w:rPr>
          <w:sz w:val="24"/>
        </w:rPr>
        <w:t>这个网页的优势，不只是把信息罗列出来，而是把“从信息到判断”的过程设计进了页面结构里。顶部状态栏与 LIVE DESK 负责体现持续追踪和快反能力；趋势判断与证据信息形成“结论层 + 证据层”；实时快讯流与重点来源池把分析拉回事实层和来源层；实时日报与趋势周报则</w:t>
      </w:r>
      <w:r>
        <w:rPr>
          <w:sz w:val="24"/>
        </w:rPr>
        <w:lastRenderedPageBreak/>
        <w:t>把追踪结果转成适合商业分析使用的短周期与中周期产物。因此，这个页面不仅展示了抓到了什么，更展示了如何从这些内容里形成商业判断，这也是它区别于普通资讯聚合页的核心价值。</w:t>
      </w:r>
    </w:p>
    <w:sectPr w:rsidR="005B473B" w:rsidSect="00034616">
      <w:pgSz w:w="12240" w:h="15840"/>
      <w:pgMar w:top="1191"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71250" w14:textId="77777777" w:rsidR="00462F9A" w:rsidRDefault="00462F9A" w:rsidP="009C581A">
      <w:pPr>
        <w:spacing w:after="0" w:line="240" w:lineRule="auto"/>
        <w:rPr>
          <w:rFonts w:hint="eastAsia"/>
        </w:rPr>
      </w:pPr>
      <w:r>
        <w:separator/>
      </w:r>
    </w:p>
  </w:endnote>
  <w:endnote w:type="continuationSeparator" w:id="0">
    <w:p w14:paraId="5F3F6D89" w14:textId="77777777" w:rsidR="00462F9A" w:rsidRDefault="00462F9A" w:rsidP="009C58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E366D" w14:textId="77777777" w:rsidR="00462F9A" w:rsidRDefault="00462F9A" w:rsidP="009C581A">
      <w:pPr>
        <w:spacing w:after="0" w:line="240" w:lineRule="auto"/>
        <w:rPr>
          <w:rFonts w:hint="eastAsia"/>
        </w:rPr>
      </w:pPr>
      <w:r>
        <w:separator/>
      </w:r>
    </w:p>
  </w:footnote>
  <w:footnote w:type="continuationSeparator" w:id="0">
    <w:p w14:paraId="4115484B" w14:textId="77777777" w:rsidR="00462F9A" w:rsidRDefault="00462F9A" w:rsidP="009C581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6875607">
    <w:abstractNumId w:val="8"/>
  </w:num>
  <w:num w:numId="2" w16cid:durableId="1222907079">
    <w:abstractNumId w:val="6"/>
  </w:num>
  <w:num w:numId="3" w16cid:durableId="341515551">
    <w:abstractNumId w:val="5"/>
  </w:num>
  <w:num w:numId="4" w16cid:durableId="545139471">
    <w:abstractNumId w:val="4"/>
  </w:num>
  <w:num w:numId="5" w16cid:durableId="1162426148">
    <w:abstractNumId w:val="7"/>
  </w:num>
  <w:num w:numId="6" w16cid:durableId="588658194">
    <w:abstractNumId w:val="3"/>
  </w:num>
  <w:num w:numId="7" w16cid:durableId="282468826">
    <w:abstractNumId w:val="2"/>
  </w:num>
  <w:num w:numId="8" w16cid:durableId="716321196">
    <w:abstractNumId w:val="1"/>
  </w:num>
  <w:num w:numId="9" w16cid:durableId="152864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F9A"/>
    <w:rsid w:val="005B473B"/>
    <w:rsid w:val="00996A1B"/>
    <w:rsid w:val="009C58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9CFE4"/>
  <w14:defaultImageDpi w14:val="300"/>
  <w15:docId w15:val="{D0A94E9D-AF9D-4C67-998E-29B58112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1665</Words>
  <Characters>1750</Characters>
  <Application>Microsoft Office Word</Application>
  <DocSecurity>0</DocSecurity>
  <Lines>67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 Liruixuan</cp:lastModifiedBy>
  <cp:revision>2</cp:revision>
  <dcterms:created xsi:type="dcterms:W3CDTF">2013-12-23T23:15:00Z</dcterms:created>
  <dcterms:modified xsi:type="dcterms:W3CDTF">2026-03-20T10:54:00Z</dcterms:modified>
  <cp:category/>
</cp:coreProperties>
</file>