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drawing>
          <wp:inline distT="0" distB="0" distL="0" distR="0">
            <wp:extent cx="5619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111827"/>
          <w:sz w:val="52"/>
          <w:szCs w:val="52"/>
        </w:rPr>
        <w:t xml:space="preserve">El banco en 10 pantallas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374151"/>
          <w:sz w:val="23"/>
          <w:szCs w:val="23"/>
        </w:rPr>
        <w:t xml:space="preserve">Ustedes atienden el banco. Miren las fotos: lo importante está marcado en rojo.</w:t>
      </w:r>
    </w:p>
    <w:p>
      <w:p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/>
      </w:r>
    </w:p>
    <w:tbl>
      <w:tblPr>
        <w:tblW w:type="dxa" w:w="90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8"/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Ustedes son el banco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No tienen billetera propia: manejan la caja del banco.</w:t>
            </w:r>
          </w:p>
        </w:tc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Los clientes son los de tercero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Les piden tarjetas, préstamos, cheques y efectivo.</w:t>
            </w:r>
          </w:p>
        </w:tc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La caja es el límite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Si se quedan sin plata, el banco deja de funcionar.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1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Entrar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La dirección de ColePay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Con el email y la contraseña que les dieron los profes entran directo al mostrador de su banco.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26"/>
      </w:tblGrid>
      <w:tr>
        <w:trPr>
          <w:cantSplit/>
        </w:trPr>
        <w:tc>
          <w:tcPr>
            <w:tcW w:type="dxa" w:w="4300"/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667000" cy="1895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26"/>
            <w:tcMar>
              <w:top w:type="dxa" w:w="40"/>
              <w:left w:type="dxa" w:w="60"/>
              <w:bottom w:type="dxa" w:w="40"/>
              <w:right w:type="dxa" w:w="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El email que les dieron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contraseña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Entrar al mostrador</w:t>
            </w:r>
          </w:p>
        </w:tc>
      </w:tr>
    </w:tbl>
    <w:tbl>
      <w:tblPr>
        <w:tblW w:type="dxa" w:w="9026"/>
        <w:tblBorders>
          <w:top w:val="none" w:color="FFFFFF" w:sz="0"/>
          <w:left w:val="single" w:color="5B3FD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FEB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5B3FD1"/>
                <w:sz w:val="21"/>
                <w:szCs w:val="21"/>
              </w:rPr>
              <w:t xml:space="preserve">El nombre del banco aparece arriba, al lado del logo.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Si dice “Sin banco”, avisen: todavía no los asignaron a ningún equipo.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2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Moverse por el banco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La barra de arriba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Ocho secciones. El globito amarillo avisa cuántas cosas hay esperando.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E2E6EA" w:sz="4"/>
          <w:left w:val="single" w:color="E2E6EA" w:sz="4"/>
          <w:bottom w:val="single" w:color="E2E6EA" w:sz="4"/>
          <w:right w:val="single" w:color="E2E6EA" w:sz="4"/>
          <w:insideH w:val="single" w:color="E2E6EA" w:sz="4"/>
          <w:insideV w:val="none" w:color="FFFFFF" w:sz="0"/>
        </w:tblBorders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Mostrador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El resumen del día: caja, pendientes y últimos movimientos.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Solicitudes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Los que piden tarjeta. Ustedes deciden si se la dan y con qué límite.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Tarjetas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Las que ya emitieron: cambiar el límite, bloquear, cerrar el resumen.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Préstamos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Los que piden plata en cuotas.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Cheques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Cobrar o rechazar los cheques que traen al banco.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Ventanilla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Recibir y entregar billetes.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Plazos fijos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pizarra de tasas: lo que pagan por la plata que les dejan.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Cuenta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Todo lo que entró y salió de la caja.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3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Los números del mostrador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Mostrador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Los cinco números que hay que mirar apenas entran.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La plata que tienen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 que está afuera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Pedidos sin contestar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Tarjetas que emitieron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Clientes que no pagaron</w:t>
            </w:r>
          </w:p>
        </w:tc>
      </w:tr>
    </w:tbl>
    <w:tbl>
      <w:tblPr>
        <w:tblW w:type="dxa" w:w="9026"/>
        <w:tblBorders>
          <w:top w:val="none" w:color="FFFFFF" w:sz="0"/>
          <w:left w:val="single" w:color="D6104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E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1"/>
                <w:szCs w:val="21"/>
              </w:rPr>
              <w:t xml:space="preserve">Si la caja llega a cero, el banco se frena.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Las compras con tarjeta de sus clientes se rechazan, no pueden desembolsar préstamos y no les alcanza para pagar una extracción por ventanilla.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4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Dar una tarjeta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Solicitudes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Primero miran quién pide y con qué respaldo. No están obligados a dar lo que piden.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Quién la pide y de qué curso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Cuánto pide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 qué plata cuenta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Para qué la quiere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Aprobar o rechazar</w:t>
            </w:r>
          </w:p>
        </w:tc>
      </w:tr>
    </w:tbl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Si aprueban, cargan los datos del plástico que ya tienen en el aula.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El límite que le dan ustedes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Marca del plástico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Copiar los datos del plástico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Los 16 números de la tarjeta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Nombre impreso y vencimiento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⑥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Queda emitida</w:t>
            </w:r>
          </w:p>
        </w:tc>
      </w:tr>
    </w:tbl>
    <w:tbl>
      <w:tblPr>
        <w:tblW w:type="dxa" w:w="9026"/>
        <w:tblBorders>
          <w:top w:val="none" w:color="FFFFFF" w:sz="0"/>
          <w:left w:val="single" w:color="5B3FD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FEB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5B3FD1"/>
                <w:sz w:val="21"/>
                <w:szCs w:val="21"/>
              </w:rPr>
              <w:t xml:space="preserve">Los datos tienen que coincidir con la tarjeta de cartón.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El número se valida como uno real: si está mal tipeado, no deja emitirla.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5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Cobrar la tarjeta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Tarjetas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Cada consumo lo adelanta el banco. El resumen es la forma de recuperarlo.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El cliente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Cuánto debe hoy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Subir o bajar el límite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Bloquear la tarjeta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Emitir el resumen</w:t>
            </w:r>
          </w:p>
        </w:tc>
      </w:tr>
    </w:tbl>
    <w:tbl>
      <w:tblPr>
        <w:tblW w:type="dxa" w:w="9026"/>
        <w:tblBorders>
          <w:top w:val="none" w:color="FFFFFF" w:sz="0"/>
          <w:left w:val="single" w:color="5B3FD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FEB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5B3FD1"/>
                <w:sz w:val="21"/>
                <w:szCs w:val="21"/>
              </w:rPr>
              <w:t xml:space="preserve">Cerrar el período emite el resumen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y le llega al cliente con su fecha de vencimiento. Si no paga, entra en mora y el banco le cobra interés.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6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Prestar plata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Préstamos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Ustedes eligen cuánto, a qué interés y en cuántas cuotas. La cuenta se ve antes de firmar.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Capital que sale de la caja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Interés por mes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 cuántas cuotas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La cuenta hecha: la ganancia del banco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Le sale la plata</w:t>
            </w:r>
          </w:p>
        </w:tc>
      </w:tr>
    </w:tbl>
    <w:tbl>
      <w:tblPr>
        <w:tblW w:type="dxa" w:w="9026"/>
        <w:tblBorders>
          <w:top w:val="none" w:color="FFFFFF" w:sz="0"/>
          <w:left w:val="single" w:color="D6104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E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1"/>
                <w:szCs w:val="21"/>
              </w:rPr>
              <w:t xml:space="preserve">El capital sale de la caja en el momento.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Vuelve de a poco, en cuotas. Presten mirando lo que les queda para atender al resto.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7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Cobrar un cheque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Cheques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Viene el beneficiario con el papel. Antes de pagar, miran si el que lo firmó tiene la plata.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Importe y número del papel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Quién lo firmó y para quién es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 el que firmó tiene la plata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Pagarlo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No pagarlo</w:t>
            </w:r>
          </w:p>
        </w:tc>
      </w:tr>
    </w:tbl>
    <w:tbl>
      <w:tblPr>
        <w:tblW w:type="dxa" w:w="9026"/>
        <w:tblBorders>
          <w:top w:val="none" w:color="FFFFFF" w:sz="0"/>
          <w:left w:val="single" w:color="D6104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E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1"/>
                <w:szCs w:val="21"/>
              </w:rPr>
              <w:t xml:space="preserve">Sin fondos, el cheque rebota.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Queda registrado en el historial del que lo firmó y todos los bancos lo ven. Un cheque diferido no se paga antes de su fecha.</w:t>
            </w:r>
          </w:p>
        </w:tc>
      </w:tr>
    </w:tbl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Si el cheque no está cargado en el sistema, lo cargan ustedes con el papel a la vista.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 que se queda el banco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Número del papel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Importe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Quién lo firmó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 la orden de quién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⑥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Desde cuándo se puede cobrar</w:t>
            </w:r>
          </w:p>
        </w:tc>
      </w:tr>
    </w:tbl>
    <w:tbl>
      <w:tblPr>
        <w:tblW w:type="dxa" w:w="9026"/>
        <w:tblBorders>
          <w:top w:val="none" w:color="FFFFFF" w:sz="0"/>
          <w:left w:val="single" w:color="5B3FD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FEB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5B3FD1"/>
                <w:sz w:val="21"/>
                <w:szCs w:val="21"/>
              </w:rPr>
              <w:t xml:space="preserve">Nunca lo carga el que lo viene a cobrar.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 carga el que lo firmó, o ustedes con el papel delante.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8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 ventanilla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Ventanilla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Entran y salen billetes. Cuenten primero, carguen después.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 quién atienden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Cuántos billetes contaron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 dónde salió esa plata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Entra a la caja</w:t>
            </w:r>
          </w:p>
        </w:tc>
      </w:tr>
    </w:tbl>
    <w:tbl>
      <w:tblPr>
        <w:tblW w:type="dxa" w:w="9026"/>
        <w:tblBorders>
          <w:top w:val="none" w:color="FFFFFF" w:sz="0"/>
          <w:left w:val="single" w:color="5B3FD1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FEB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5B3FD1"/>
                <w:sz w:val="21"/>
                <w:szCs w:val="21"/>
              </w:rPr>
              <w:t xml:space="preserve">El depósito suma a la caja del banco y a la cuenta del cliente.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extracción resta de las dos. Si prestaron de más, no les va a alcanzar para pagar un retiro.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9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 pizarra de tasas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Plazos fijos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Es la plata que les dejan guardada. Entra a la caja y la pueden prestar… pero hay que devolverla con interés.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 que pagan contra lo que cobran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Los plazos que ofrecen hoy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Por cuántos días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Cuánto pagan por año (TNA)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Queda en la pizarra</w:t>
            </w:r>
          </w:p>
        </w:tc>
      </w:tr>
    </w:tbl>
    <w:tbl>
      <w:tblPr>
        <w:tblW w:type="dxa" w:w="9026"/>
        <w:tblBorders>
          <w:top w:val="none" w:color="FFFFFF" w:sz="0"/>
          <w:left w:val="single" w:color="D6104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E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1"/>
                <w:szCs w:val="21"/>
              </w:rPr>
              <w:t xml:space="preserve">Nunca paguen más de lo que cobran prestando.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Ahí está la ganancia del banco: la diferencia entre las dos tasas.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B3FD1" w:color="auto" w:val="clear"/>
        </w:rPr>
        <w:t xml:space="preserve"> 10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 cuenta del banco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5B3FD1"/>
          <w:sz w:val="17"/>
          <w:szCs w:val="17"/>
          <w:shd w:fill="EFEBFB" w:color="auto" w:val="clear"/>
        </w:rPr>
        <w:t xml:space="preserve"> → Cuenta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Todo lo que hicieron en el día, en una lista. Acá se ve si el banco gana o pierde.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 que hay ahora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Todo lo que entró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Todo lo que salió</w:t>
            </w:r>
          </w:p>
        </w:tc>
      </w:tr>
    </w:tbl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Cuatro reglas del mostrador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Miren la caja antes de decir que sí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Prestar es fácil; pagar cuando vengan todos juntos, no.</w:t>
            </w:r>
          </w:p>
        </w:tc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Lo que aprueban queda a su nombre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Cada decisión guarda quién la tomó. No presten la contraseña.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El papel y la app tienen que coincidir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La tarjeta y el cheque de cartón son el original; la app es el espejo.</w:t>
            </w:r>
          </w:p>
        </w:tc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Cobrar también es trabajo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Cierren los resúmenes y revisen la mora: sin eso el banco se funde.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Las palabras del banco</w:t>
      </w:r>
    </w:p>
    <w:tbl>
      <w:tblPr>
        <w:tblW w:type="dxa" w:w="9026"/>
        <w:tblBorders>
          <w:top w:val="single" w:color="E2E6EA" w:sz="4"/>
          <w:left w:val="single" w:color="E2E6EA" w:sz="4"/>
          <w:bottom w:val="single" w:color="E2E6EA" w:sz="4"/>
          <w:right w:val="single" w:color="E2E6EA" w:sz="4"/>
          <w:insideH w:val="single" w:color="E2E6EA" w:sz="4"/>
          <w:insideV w:val="none" w:color="FFFFFF" w:sz="0"/>
        </w:tblBorders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Caja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plata que el banco tiene ahora para prestar, pagar cheques y entregar por ventanilla.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Límite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 máximo que un cliente puede gastar con su tarjeta antes de pagar el resumen.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Resumen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cuenta de lo que gastó con la tarjeta en el período, con su fecha de vencimiento.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Mora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Un resumen que venció sin pagarse. El banco le cobra interés.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Librador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El que firma el cheque y del que sale la plata. El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beneficiario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 es el que lo viene a cobrar.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Comisión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 que se queda el banco de cada cheque que hace efectivo, en % del importe (ej. </w:t>
            </w: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1%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TNA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Tasa nominal anual: cuánto paga el banco por año por la plata que le dejan a plazo fijo.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6EA" w:sz="4" w:space="6"/>
      </w:pBdr>
      <w:tabs>
        <w:tab w:val="right" w:pos="9026"/>
      </w:tabs>
    </w:pPr>
    <w:r>
      <w:rPr>
        <w:rFonts w:ascii="Calibri" w:cs="Calibri" w:eastAsia="Calibri" w:hAnsi="Calibri"/>
        <w:color w:val="6B7280"/>
        <w:sz w:val="17"/>
        <w:szCs w:val="17"/>
      </w:rPr>
      <w:t xml:space="preserve">ColePay · Mostrador del banco (quinto año)</w:t>
    </w:r>
    <w:r>
      <w:rPr>
        <w:rFonts w:ascii="Calibri" w:cs="Calibri" w:eastAsia="Calibri" w:hAnsi="Calibri"/>
        <w:color w:val="111827"/>
        <w:sz w:val="21"/>
        <w:szCs w:val="21"/>
      </w:rPr>
      <w:t xml:space="preserve">	</w:t>
    </w:r>
    <w:r>
      <w:rPr>
        <w:rFonts w:ascii="Calibri" w:cs="Calibri" w:eastAsia="Calibri" w:hAnsi="Calibr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7"/>
        <w:szCs w:val="17"/>
      </w:rPr>
      <w:t xml:space="preserve">Plata ficticia, sin valor real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38050e660de60ca8eb15f028825b8efaf31668.png"/><Relationship Id="rId10" Type="http://schemas.openxmlformats.org/officeDocument/2006/relationships/image" Target="media/36f98267a22116e278ae8cf5044055849c0871d0.png"/><Relationship Id="rId11" Type="http://schemas.openxmlformats.org/officeDocument/2006/relationships/image" Target="media/8444c1a7c2c507e0efafcacdd5b1c9b7b981a085.png"/><Relationship Id="rId12" Type="http://schemas.openxmlformats.org/officeDocument/2006/relationships/image" Target="media/a2489705b95912b95faad17c0a1573d0bddfc94e.png"/><Relationship Id="rId13" Type="http://schemas.openxmlformats.org/officeDocument/2006/relationships/image" Target="media/42a091d38547c4f087e1d362bf75f0a4ec7d1c6f.png"/><Relationship Id="rId14" Type="http://schemas.openxmlformats.org/officeDocument/2006/relationships/image" Target="media/ba15131cb6ff3fb72f3ec48d138ca34778f68441.png"/><Relationship Id="rId15" Type="http://schemas.openxmlformats.org/officeDocument/2006/relationships/image" Target="media/7af133fc694970a1e1a233bbc8e93d1ae1fa0747.png"/><Relationship Id="rId16" Type="http://schemas.openxmlformats.org/officeDocument/2006/relationships/image" Target="media/67b4e61fe9540feb23ee17fdef52cc3e9ead2384.png"/><Relationship Id="rId17" Type="http://schemas.openxmlformats.org/officeDocument/2006/relationships/image" Target="media/bfb61de20f0b412b321be692b8b2fcaf17607127.png"/><Relationship Id="rId18" Type="http://schemas.openxmlformats.org/officeDocument/2006/relationships/image" Target="media/1e505d60bdde2dcf3dee31a3c6f8488d1b03fc6c.png"/><Relationship Id="rId19" Type="http://schemas.openxmlformats.org/officeDocument/2006/relationships/image" Target="media/662a5f83ec98c0ebc5730742cf014376c3fa0e71.png"/><Relationship Id="rId20" Type="http://schemas.openxmlformats.org/officeDocument/2006/relationships/image" Target="media/c2be8ccb6e23d6b13c84ffba1fd6c8cec12e59db.png"/><Relationship Id="rId21" Type="http://schemas.openxmlformats.org/officeDocument/2006/relationships/image" Target="media/964697ba5713adec6111ae4021dfd143eb35952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banco en 10 pantallas — Guía del mostrador</dc:title>
  <dc:creator>ColePay</dc:creator>
  <dc:description>Guía de uso del mostrador del banco para los alumnos de quinto</dc:description>
  <cp:lastModifiedBy>Un-named</cp:lastModifiedBy>
  <cp:revision>1</cp:revision>
  <dcterms:created xsi:type="dcterms:W3CDTF">2026-09-27T23:53:13.695Z</dcterms:created>
  <dcterms:modified xsi:type="dcterms:W3CDTF">2026-09-27T23:53:13.697Z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