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DFC3" w14:textId="77777777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14:paraId="1275DFC4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1275DFC5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275DFC6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8D6417">
        <w:rPr>
          <w:rFonts w:ascii="Arial" w:hAnsi="Arial" w:cs="Arial"/>
          <w:b/>
          <w:bCs/>
          <w:sz w:val="28"/>
          <w:szCs w:val="28"/>
        </w:rPr>
        <w:t>08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</w:p>
    <w:p w14:paraId="1275DFC7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C8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___</w:t>
      </w:r>
      <w:r w:rsidR="008D6417">
        <w:rPr>
          <w:rFonts w:ascii="Arial" w:hAnsi="Arial" w:cs="Arial"/>
          <w:b/>
          <w:bCs/>
          <w:sz w:val="28"/>
          <w:szCs w:val="28"/>
        </w:rPr>
        <w:t>Adsgraca</w:t>
      </w:r>
      <w:r>
        <w:rPr>
          <w:rFonts w:ascii="Arial" w:hAnsi="Arial" w:cs="Arial"/>
          <w:b/>
          <w:bCs/>
          <w:sz w:val="28"/>
          <w:szCs w:val="28"/>
        </w:rPr>
        <w:t>_____________________</w:t>
      </w:r>
    </w:p>
    <w:p w14:paraId="1275DFC9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CA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1275DFCB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14:paraId="1275DFCC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14:paraId="1275DFCD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Observar Include, Extend e Generalização.</w:t>
      </w:r>
    </w:p>
    <w:p w14:paraId="1275DFCE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Include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 w:rsidRPr="00520ADB">
        <w:rPr>
          <w:rFonts w:ascii="Arial" w:hAnsi="Arial" w:cs="Arial"/>
          <w:sz w:val="20"/>
          <w:szCs w:val="20"/>
        </w:rPr>
        <w:t xml:space="preserve"> o Caso de Uso 1 inclui o Caso de Uso 2, isto </w:t>
      </w:r>
      <w:r w:rsidR="00520ADB" w:rsidRPr="00520ADB">
        <w:rPr>
          <w:rFonts w:ascii="Arial" w:hAnsi="Arial" w:cs="Arial"/>
          <w:sz w:val="20"/>
          <w:szCs w:val="20"/>
        </w:rPr>
        <w:t>é, sempre</w:t>
      </w:r>
      <w:r w:rsidRPr="00520ADB">
        <w:rPr>
          <w:rFonts w:ascii="Arial" w:hAnsi="Arial" w:cs="Arial"/>
          <w:sz w:val="20"/>
          <w:szCs w:val="20"/>
        </w:rPr>
        <w:t xml:space="preserve"> que o Caso de Uso 1 for executado, o Caso de Uso 2 também será. (Seta chegando no Caso de Uso 2)</w:t>
      </w:r>
      <w:r w:rsidR="00877A2D">
        <w:rPr>
          <w:rFonts w:ascii="Arial" w:hAnsi="Arial" w:cs="Arial"/>
          <w:sz w:val="20"/>
          <w:szCs w:val="20"/>
        </w:rPr>
        <w:t>. É uma agregação do tipo composição.</w:t>
      </w:r>
    </w:p>
    <w:p w14:paraId="1275DFCF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Extend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520ADB">
        <w:rPr>
          <w:rFonts w:ascii="Arial" w:hAnsi="Arial" w:cs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 w14:paraId="1275DFD0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Generalização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520ADB"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>- Pode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ser usado para os atores ou os casos de Uso. Por exemplo: um ator Usuário que </w:t>
      </w:r>
      <w:r w:rsidR="004B3643">
        <w:rPr>
          <w:rStyle w:val="Forte"/>
          <w:rFonts w:ascii="Arial" w:hAnsi="Arial" w:cs="Arial"/>
          <w:b w:val="0"/>
          <w:bCs w:val="0"/>
          <w:sz w:val="20"/>
          <w:szCs w:val="20"/>
        </w:rPr>
        <w:t>é a generalização 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Aluno e Professor, tudo que tiver no usuário (atributos, propriedades, métodos) será herdado pelo Aluno e Professor. </w:t>
      </w:r>
      <w:r w:rsidR="00520ADB">
        <w:rPr>
          <w:rStyle w:val="Forte"/>
          <w:rFonts w:ascii="Arial" w:hAnsi="Arial" w:cs="Arial"/>
          <w:b w:val="0"/>
          <w:bCs w:val="0"/>
          <w:sz w:val="20"/>
          <w:szCs w:val="20"/>
        </w:rPr>
        <w:t>Ou, um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Pr="00520ADB">
        <w:rPr>
          <w:rFonts w:ascii="Arial" w:hAnsi="Arial" w:cs="Arial"/>
          <w:sz w:val="20"/>
          <w:szCs w:val="20"/>
        </w:rPr>
        <w:t xml:space="preserve">Caso de Uso </w:t>
      </w:r>
      <w:r w:rsidR="00774E7F">
        <w:rPr>
          <w:rFonts w:ascii="Arial" w:hAnsi="Arial" w:cs="Arial"/>
          <w:sz w:val="20"/>
          <w:szCs w:val="20"/>
        </w:rPr>
        <w:t>Autenticar Usuário</w:t>
      </w:r>
      <w:r w:rsidRPr="00520ADB">
        <w:rPr>
          <w:rFonts w:ascii="Arial" w:hAnsi="Arial" w:cs="Arial"/>
          <w:sz w:val="20"/>
          <w:szCs w:val="20"/>
        </w:rPr>
        <w:t xml:space="preserve"> </w:t>
      </w:r>
      <w:r w:rsidR="004B3643">
        <w:rPr>
          <w:rFonts w:ascii="Arial" w:hAnsi="Arial" w:cs="Arial"/>
          <w:sz w:val="20"/>
          <w:szCs w:val="20"/>
        </w:rPr>
        <w:t>que é a generalização de um</w:t>
      </w:r>
      <w:r w:rsidRPr="00520ADB">
        <w:rPr>
          <w:rFonts w:ascii="Arial" w:hAnsi="Arial" w:cs="Arial"/>
          <w:sz w:val="20"/>
          <w:szCs w:val="20"/>
        </w:rPr>
        <w:t xml:space="preserve">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>, isso significa que</w:t>
      </w:r>
      <w:r w:rsidR="00520ADB" w:rsidRPr="00520ADB">
        <w:rPr>
          <w:rFonts w:ascii="Arial" w:hAnsi="Arial" w:cs="Arial"/>
          <w:sz w:val="20"/>
          <w:szCs w:val="20"/>
        </w:rPr>
        <w:t xml:space="preserve"> o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 xml:space="preserve"> além de fazer tudo que nele</w:t>
      </w:r>
      <w:r w:rsidR="00520ADB" w:rsidRPr="00520ADB">
        <w:rPr>
          <w:rFonts w:ascii="Arial" w:hAnsi="Arial" w:cs="Arial"/>
          <w:sz w:val="20"/>
          <w:szCs w:val="20"/>
        </w:rPr>
        <w:t>,</w:t>
      </w:r>
      <w:r w:rsidRPr="00520ADB">
        <w:rPr>
          <w:rFonts w:ascii="Arial" w:hAnsi="Arial" w:cs="Arial"/>
          <w:sz w:val="20"/>
          <w:szCs w:val="20"/>
        </w:rPr>
        <w:t xml:space="preserve"> também executará tudo que </w:t>
      </w:r>
      <w:r w:rsidR="00520ADB" w:rsidRPr="00520ADB">
        <w:rPr>
          <w:rFonts w:ascii="Arial" w:hAnsi="Arial" w:cs="Arial"/>
          <w:sz w:val="20"/>
          <w:szCs w:val="20"/>
        </w:rPr>
        <w:t xml:space="preserve">está no </w:t>
      </w:r>
      <w:r w:rsidR="00774E7F">
        <w:rPr>
          <w:rFonts w:ascii="Arial" w:hAnsi="Arial" w:cs="Arial"/>
          <w:sz w:val="20"/>
          <w:szCs w:val="20"/>
        </w:rPr>
        <w:t>Autenticar Usuário.</w:t>
      </w:r>
    </w:p>
    <w:p w14:paraId="1275DFD1" w14:textId="77777777" w:rsidR="007C6A20" w:rsidRPr="00CB77DF" w:rsidRDefault="007C6A20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noProof/>
          <w:color w:val="000000"/>
        </w:rPr>
      </w:pPr>
    </w:p>
    <w:p w14:paraId="1275DFD2" w14:textId="77777777" w:rsidR="005C29D6" w:rsidRPr="00CB77DF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1275DFD3" w14:textId="77777777" w:rsidR="00E1163B" w:rsidRDefault="00E1163B" w:rsidP="005C29D6">
      <w:pPr>
        <w:pStyle w:val="Figura"/>
      </w:pPr>
      <w:bookmarkStart w:id="0" w:name="_heading=h.gjdgxs" w:colFirst="0" w:colLast="0"/>
      <w:bookmarkStart w:id="1" w:name="_Toc73840714"/>
      <w:bookmarkStart w:id="2" w:name="_Toc73960543"/>
      <w:bookmarkEnd w:id="0"/>
    </w:p>
    <w:p w14:paraId="1275DFD4" w14:textId="77777777" w:rsidR="00E1163B" w:rsidRDefault="00E1163B" w:rsidP="005C29D6">
      <w:pPr>
        <w:pStyle w:val="Figura"/>
      </w:pPr>
    </w:p>
    <w:p w14:paraId="1275DFD5" w14:textId="77777777" w:rsidR="00E1163B" w:rsidRDefault="00E1163B" w:rsidP="005C29D6">
      <w:pPr>
        <w:pStyle w:val="Figura"/>
      </w:pPr>
    </w:p>
    <w:p w14:paraId="1275DFD6" w14:textId="77777777" w:rsidR="00E1163B" w:rsidRDefault="00E1163B" w:rsidP="005C29D6">
      <w:pPr>
        <w:pStyle w:val="Figura"/>
      </w:pPr>
    </w:p>
    <w:p w14:paraId="1275DFD7" w14:textId="77777777" w:rsidR="00E1163B" w:rsidRDefault="00E1163B" w:rsidP="005C29D6">
      <w:pPr>
        <w:pStyle w:val="Figura"/>
      </w:pPr>
    </w:p>
    <w:p w14:paraId="1275DFD8" w14:textId="77777777" w:rsidR="00E1163B" w:rsidRDefault="00E1163B" w:rsidP="005C29D6">
      <w:pPr>
        <w:pStyle w:val="Figura"/>
      </w:pPr>
    </w:p>
    <w:p w14:paraId="1275DFD9" w14:textId="77777777" w:rsidR="00E1163B" w:rsidRDefault="00E1163B" w:rsidP="005C29D6">
      <w:pPr>
        <w:pStyle w:val="Figura"/>
      </w:pPr>
    </w:p>
    <w:p w14:paraId="1275DFDA" w14:textId="77777777" w:rsidR="00E1163B" w:rsidRDefault="00E1163B" w:rsidP="005C29D6">
      <w:pPr>
        <w:pStyle w:val="Figura"/>
      </w:pPr>
    </w:p>
    <w:p w14:paraId="1275DFDB" w14:textId="77777777" w:rsidR="00E1163B" w:rsidRDefault="00E1163B" w:rsidP="005C29D6">
      <w:pPr>
        <w:pStyle w:val="Figura"/>
      </w:pPr>
    </w:p>
    <w:p w14:paraId="1275DFDC" w14:textId="77777777" w:rsidR="00E1163B" w:rsidRDefault="00E1163B" w:rsidP="005C29D6">
      <w:pPr>
        <w:pStyle w:val="Figura"/>
      </w:pPr>
    </w:p>
    <w:p w14:paraId="1275DFDD" w14:textId="77777777" w:rsidR="00E1163B" w:rsidRDefault="00E1163B" w:rsidP="005C29D6">
      <w:pPr>
        <w:pStyle w:val="Figura"/>
      </w:pPr>
    </w:p>
    <w:p w14:paraId="1275DFDE" w14:textId="77777777" w:rsidR="00E1163B" w:rsidRDefault="00E1163B" w:rsidP="005C29D6">
      <w:pPr>
        <w:pStyle w:val="Figura"/>
      </w:pPr>
    </w:p>
    <w:p w14:paraId="1275DFDF" w14:textId="77777777" w:rsidR="005C29D6" w:rsidRDefault="005C29D6" w:rsidP="005C29D6">
      <w:pPr>
        <w:pStyle w:val="Figura"/>
      </w:pPr>
      <w:r w:rsidRPr="00CB77DF">
        <w:lastRenderedPageBreak/>
        <w:t>Figura 1</w:t>
      </w:r>
      <w:r w:rsidR="0099551B">
        <w:t xml:space="preserve"> –</w:t>
      </w:r>
      <w:r w:rsidRPr="00CB77DF">
        <w:t xml:space="preserve"> </w:t>
      </w:r>
      <w:r w:rsidR="0099551B">
        <w:t xml:space="preserve">Diagrama de </w:t>
      </w:r>
      <w:r w:rsidRPr="00CB77DF">
        <w:t>Caso de Uso</w:t>
      </w:r>
      <w:bookmarkEnd w:id="1"/>
      <w:bookmarkEnd w:id="2"/>
    </w:p>
    <w:p w14:paraId="1275DFE0" w14:textId="77777777" w:rsidR="005C29D6" w:rsidRDefault="005C29D6" w:rsidP="005C29D6">
      <w:pPr>
        <w:pStyle w:val="Figura"/>
      </w:pPr>
    </w:p>
    <w:p w14:paraId="1275DFE1" w14:textId="77777777" w:rsidR="005C29D6" w:rsidRDefault="005C29D6" w:rsidP="005C29D6">
      <w:pPr>
        <w:pStyle w:val="Figura"/>
      </w:pPr>
    </w:p>
    <w:p w14:paraId="1275DFE2" w14:textId="77777777" w:rsidR="005C29D6" w:rsidRDefault="00E1163B" w:rsidP="00E1163B">
      <w:pPr>
        <w:pStyle w:val="Figura"/>
        <w:ind w:left="-284" w:right="-328"/>
      </w:pPr>
      <w:r>
        <w:rPr>
          <w:lang w:eastAsia="pt-BR"/>
        </w:rPr>
        <w:drawing>
          <wp:inline distT="0" distB="0" distL="0" distR="0" wp14:anchorId="1275DFEC" wp14:editId="1275DFED">
            <wp:extent cx="5912485" cy="3716829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3716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5DFE3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4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5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6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7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8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9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A" w14:textId="77777777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275DFEB" w14:textId="77777777" w:rsidR="001174DC" w:rsidRDefault="0099551B" w:rsidP="00A807B8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CB77DF">
        <w:rPr>
          <w:noProof/>
          <w:color w:val="000000"/>
        </w:rPr>
        <w:t>Fonte: Autores</w:t>
      </w:r>
      <w:bookmarkStart w:id="3" w:name="_Toc73840941"/>
      <w:bookmarkStart w:id="4" w:name="_Toc73960593"/>
      <w:bookmarkEnd w:id="3"/>
      <w:bookmarkEnd w:id="4"/>
    </w:p>
    <w:sectPr w:rsidR="001174DC" w:rsidSect="001154A2">
      <w:headerReference w:type="even" r:id="rId12"/>
      <w:headerReference w:type="default" r:id="rId13"/>
      <w:footerReference w:type="default" r:id="rId14"/>
      <w:headerReference w:type="first" r:id="rId15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23F0" w14:textId="77777777" w:rsidR="00FE1D62" w:rsidRDefault="00FE1D62">
      <w:r>
        <w:separator/>
      </w:r>
    </w:p>
  </w:endnote>
  <w:endnote w:type="continuationSeparator" w:id="0">
    <w:p w14:paraId="42F90D33" w14:textId="77777777" w:rsidR="00FE1D62" w:rsidRDefault="00FE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DFF6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640585">
      <w:t>DiagramaCasoUso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76F2" w14:textId="77777777" w:rsidR="00FE1D62" w:rsidRDefault="00FE1D62">
      <w:r>
        <w:separator/>
      </w:r>
    </w:p>
  </w:footnote>
  <w:footnote w:type="continuationSeparator" w:id="0">
    <w:p w14:paraId="1FF5F636" w14:textId="77777777" w:rsidR="00FE1D62" w:rsidRDefault="00FE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DFF2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1275DFF7" wp14:editId="1275DFF8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DFF3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1275DFF4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1275DFF5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7115" w14:textId="77777777" w:rsidR="004F73BC" w:rsidRDefault="004F73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463983">
    <w:abstractNumId w:val="4"/>
  </w:num>
  <w:num w:numId="2" w16cid:durableId="986737783">
    <w:abstractNumId w:val="1"/>
  </w:num>
  <w:num w:numId="3" w16cid:durableId="710035871">
    <w:abstractNumId w:val="2"/>
  </w:num>
  <w:num w:numId="4" w16cid:durableId="1845195398">
    <w:abstractNumId w:val="0"/>
  </w:num>
  <w:num w:numId="5" w16cid:durableId="1981183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0CEE"/>
    <w:rsid w:val="000C368C"/>
    <w:rsid w:val="000E392C"/>
    <w:rsid w:val="00107D53"/>
    <w:rsid w:val="001154A2"/>
    <w:rsid w:val="001174DC"/>
    <w:rsid w:val="00121090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B3643"/>
    <w:rsid w:val="004C0200"/>
    <w:rsid w:val="004C2E8E"/>
    <w:rsid w:val="004D1B29"/>
    <w:rsid w:val="004F1394"/>
    <w:rsid w:val="004F2569"/>
    <w:rsid w:val="004F73BC"/>
    <w:rsid w:val="00506679"/>
    <w:rsid w:val="00520ADB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0585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31AFF"/>
    <w:rsid w:val="00755FC9"/>
    <w:rsid w:val="00774E7F"/>
    <w:rsid w:val="007862DB"/>
    <w:rsid w:val="007A741B"/>
    <w:rsid w:val="007C6A20"/>
    <w:rsid w:val="007D6A11"/>
    <w:rsid w:val="007E694A"/>
    <w:rsid w:val="007F6DF2"/>
    <w:rsid w:val="0083568F"/>
    <w:rsid w:val="00841340"/>
    <w:rsid w:val="00850F84"/>
    <w:rsid w:val="00877A2D"/>
    <w:rsid w:val="00885726"/>
    <w:rsid w:val="008B6F0F"/>
    <w:rsid w:val="008D184E"/>
    <w:rsid w:val="008D35A7"/>
    <w:rsid w:val="008D4AB6"/>
    <w:rsid w:val="008D6417"/>
    <w:rsid w:val="008E4AB6"/>
    <w:rsid w:val="008E7EA9"/>
    <w:rsid w:val="008F0C5F"/>
    <w:rsid w:val="009210DC"/>
    <w:rsid w:val="009225AD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7381C"/>
    <w:rsid w:val="00A807B8"/>
    <w:rsid w:val="00A80C2C"/>
    <w:rsid w:val="00AA4E6F"/>
    <w:rsid w:val="00AA7F64"/>
    <w:rsid w:val="00AB7E91"/>
    <w:rsid w:val="00AC544D"/>
    <w:rsid w:val="00AC6154"/>
    <w:rsid w:val="00AC73E4"/>
    <w:rsid w:val="00AD1155"/>
    <w:rsid w:val="00AE3864"/>
    <w:rsid w:val="00AF71CE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163B"/>
    <w:rsid w:val="00E14A96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40DD"/>
    <w:rsid w:val="00F81FC8"/>
    <w:rsid w:val="00F91FC1"/>
    <w:rsid w:val="00F93B15"/>
    <w:rsid w:val="00F97E4A"/>
    <w:rsid w:val="00FA696A"/>
    <w:rsid w:val="00FB1900"/>
    <w:rsid w:val="00FC70A9"/>
    <w:rsid w:val="00FD377B"/>
    <w:rsid w:val="00FE1D62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75DFC3"/>
  <w15:docId w15:val="{8A3BF94E-C126-4B84-84ED-9A94CFD7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C6A2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CCA146E-0E0C-4D4F-8F7C-F74324AD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251</Words>
  <Characters>1142</Characters>
  <Application>Microsoft Office Word</Application>
  <DocSecurity>0</DocSecurity>
  <Lines>51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Alan Alves de Oliveira</cp:lastModifiedBy>
  <cp:revision>21</cp:revision>
  <cp:lastPrinted>2004-02-18T23:29:00Z</cp:lastPrinted>
  <dcterms:created xsi:type="dcterms:W3CDTF">2021-09-09T18:51:00Z</dcterms:created>
  <dcterms:modified xsi:type="dcterms:W3CDTF">2026-04-09T23:49:00Z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  <property fmtid="{D5CDD505-2E9C-101B-9397-08002B2CF9AE}" pid="3" name="MSIP_Label_2e0c7aab-9a44-47a9-b362-9ab239a9b055_Enabled">
    <vt:lpwstr>true</vt:lpwstr>
  </property>
  <property fmtid="{D5CDD505-2E9C-101B-9397-08002B2CF9AE}" pid="4" name="MSIP_Label_2e0c7aab-9a44-47a9-b362-9ab239a9b055_SetDate">
    <vt:lpwstr>2026-04-09T23:49:26Z</vt:lpwstr>
  </property>
  <property fmtid="{D5CDD505-2E9C-101B-9397-08002B2CF9AE}" pid="5" name="MSIP_Label_2e0c7aab-9a44-47a9-b362-9ab239a9b055_Method">
    <vt:lpwstr>Standard</vt:lpwstr>
  </property>
  <property fmtid="{D5CDD505-2E9C-101B-9397-08002B2CF9AE}" pid="6" name="MSIP_Label_2e0c7aab-9a44-47a9-b362-9ab239a9b055_Name">
    <vt:lpwstr>PROTECTED  関係者外秘</vt:lpwstr>
  </property>
  <property fmtid="{D5CDD505-2E9C-101B-9397-08002B2CF9AE}" pid="7" name="MSIP_Label_2e0c7aab-9a44-47a9-b362-9ab239a9b055_SiteId">
    <vt:lpwstr>3855fb14-c221-4399-b3f8-97d96a4ce45d</vt:lpwstr>
  </property>
  <property fmtid="{D5CDD505-2E9C-101B-9397-08002B2CF9AE}" pid="8" name="MSIP_Label_2e0c7aab-9a44-47a9-b362-9ab239a9b055_ActionId">
    <vt:lpwstr>2103aea1-fee9-4cab-bca2-47f056bff3d6</vt:lpwstr>
  </property>
  <property fmtid="{D5CDD505-2E9C-101B-9397-08002B2CF9AE}" pid="9" name="MSIP_Label_2e0c7aab-9a44-47a9-b362-9ab239a9b055_ContentBits">
    <vt:lpwstr>1</vt:lpwstr>
  </property>
  <property fmtid="{D5CDD505-2E9C-101B-9397-08002B2CF9AE}" pid="10" name="MSIP_Label_2e0c7aab-9a44-47a9-b362-9ab239a9b055_Tag">
    <vt:lpwstr>10, 3, 0, 1</vt:lpwstr>
  </property>
</Properties>
</file>