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Coordinated Autonomous AI-Agent Swarms and Synthetic Persona Rings: Threat Architecture, Economic Impact, and the Invalidation of Perimeter Defenses (2024–2026)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fraud landscape between 2024 and 2026 is defined by a fundamental architectural rupture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the preceding two decades, enterprise fraud mitigation relied on detecting mechanical bot signatures: static user-agent strings, known data center IP ranges, crude headless browser flags such as navigator.webdriver = true, and unnatural transaction velocities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the past twenty-four months, the weaponization of multimodal Large Language Model (LLM) agents, visual reasoning engines, commercial anti-detect browser platforms, and multi-million-node residential proxy networks has rendered these perimeter controls ineffective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Adversarial operations have shifted from deterministic, repetitive scripts to coordinated autonomous AI-agent swarms and syndicated synthetic persona 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distributed clusters execute dynamic task planning, parse user interfaces visually, and generate non-deterministic behavioral patterns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assigning each autonomous agent an internally consistent synthetic persona—complete with deterministic canvas noise, WebGL shader spoofing, synchronized residential network egress, and humanized biometric jitter—threat rings present to enterprise risk engines as hundreds of unrelated, high-reputation human users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damage across retail banking, fintech credit origination, Buy-Now-Pay-Later (BNPL) ecosystems, and consumer platforms has escalated rapidly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Authoritative industry data indicates that fraud cost multipliers have reached record levels, with United States financial services firms expending $5.75 and lending institutions expending $5.38 for every dollar lost to fraud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individual micro-loans and promotional bonus extractions are sized beneath traditional manual adjudication thresholds, syndicated swarms execute programmatic fraud at enterprise scale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enterprise defense teams face an operational and legal deadlock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Legacy security engines evaluate risk in session-isolated silos, failing to detect distributed swarm coordination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evolving regulatory standards—such as Consumer Financial Protection Bureau (CFPB) Circular 2023-03 under the Fair Credit Reporting Act (FCRA) and the European Union Artificial Intelligence Act—prohibit institutions from executing automated adverse actions based on unexplainable "black-box" risk probabilities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Resolving this vulnerability requires moving beyond point-in-time perimeter defense toward cross-session behavioral sequencing and contributory graph intelligence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2024–2026 Threat Paradigm Shift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Scripted Botnets to Autonomous Agentic Architectures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transition from scripted botnets to autonomous agentic architectures represents an evolutionary shift from procedural automation to semantic goal resolution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Traditional automated attacks relied on execution libraries such as Selenium, Puppeteer, or baseline Playwright frameworks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engines navigated document object models (DOM) via hardcoded CSS selectors, static XPath expressions, and predefined execution routines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Web Application Firewalls (WAFs) and bot mitigation platforms countered these attacks by identifying DOM traversing anomalies, non-standard JavaScript runtime environments, missing browser plugins, and linear cursor physics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2024 and 2026, threat actors adopted agentic frameworks powered by multimodal foundation models such as GPT-4o and Claude 3.5 Sonnet, orchestrated through libraries including Browser-Use, AutoGPT, Playwright-LLM, and native operating system interaction interfaces like Claude Computer 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adhering to static scripts, an agent swarm operates through iterative perception-action loops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During perceptual ingestion, the agent captures rendered DOM trees, accessibility trees, or rasterized visual screenshots of the interface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vision-language model evaluates the visual layout against a high-level operational objective, such as navigating onboarding flows, providing identity credentials, or completing micro-lending forms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the target web application modifies its layout, introduces dynamic CSS class obfuscation, or rearranges form fields, the agent visually identifies the input targets and synthesizes an adaptive interaction path in real 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When unexpected system errors, network timeouts, or contextual validation prompts occur, the model visually parses the failure state, corrects the input formatting, and continues execution without human intervention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Front-end obfuscation techniques, including polymorphic HTML and honeypot DOM elements, fail because the agent interacts strictly with the rendered visual presentation presented to human users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Persona Synthesis: Multi-Modal AI, Anti-Detect Browsers, and Residential Proxy Infrastructure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scale distributed operations without triggering velocity defenses, threat syndicates decouple automation from standard headless browsers, embedding each autonomous agent within an isolated, synthetic persona stack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operational model integrates multi-modal orchestration, browser environment isolation, and consumer-grade network routing into a unified attack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Client-side environment isolation relies on commercial anti-detect browsers such as Multilogin, AdsPower, Dolphin Anty, and Incogniton, controlled via the Chrome DevTools Protocol (CDP)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blocking client-side fingerprinting scripts—an action that immediately raises risk scores—anti-detect platforms modify the Chromium source code to spoof low-level browser primitives natively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persona profile is provisioned with an isolated device configuration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fingerprinting libraries query the HTML5 Canvas API via toDataURL() or execute WebGL rendering routines, the underlying browser core injects deterministic mathematical noise into the color buffer calculations and 3D shader rasterization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ensures that the generated canvas and WebGL hashes appear distinct across profiles while remaining stable across multiple sessions run by the same agent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the browser engine intercepts the Web Audio API, applying subtle noise adjustments to AudioBuffer and oscillator dynamics to alter audio fingerprint hashes without breaking audio functionality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Core system values—including navigator.userAgent, User-Agent Client Hints (Sec-CH-UA), screen dimensions, GPU vendor strings, and installed font lists—are configured to eliminate internal discrepancies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network layer, each anti-detect profile routes through residential rotating proxy services such as Bright Data, Oxylabs, and Smartproxy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Inbound requests to the target service originate from consumer Internet Service Provider (ISP) autonomous system numbers (ASNs) rather than identifiable data centers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proxy infrastructure synchronizes with the client-side profile: the browser's JavaScript timezone offset (Intl.DateTimeFormat), system language headers, WebRTC local and public IP configurations, and simulated geolocation coordinates match the residential IP node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behavioral biometric monitoring, agentic engines introduce non-deterministic behavioral modeling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Keystroke timings follow Gaussian distributions modeling natural human typing rhythms and error-correction delays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Mouse trajectories are generated using randomized Bézier curves with dynamic acceleration, deceleration, slight overshoots, and pauses, preventing velocity and interaction algorithms from detecting automation signatures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Verification of Bot Evasion and CAPTCHA Collapse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 security research from top-tier academic venues confirms the vulnerabilities of client-side defenses and challenge-response tests against agentic architectures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34th USENIX Security Symposium, Teoh et al. introduced </w:t>
      </w:r>
      <w:r w:rsidDel="00000000" w:rsidR="00000000" w:rsidRPr="00000000">
        <w:rPr>
          <w:rFonts w:ascii="Google Sans" w:cs="Google Sans" w:eastAsia="Google Sans" w:hAnsi="Google Sans"/>
          <w:b w:val="1"/>
          <w:bCs w:val="1"/>
          <w:color w:val="1f1f1f"/>
          <w:rtl w:val="0"/>
        </w:rPr>
        <w:t xml:space="preserve">Halligan</w:t>
      </w:r>
      <w:r w:rsidDel="00000000" w:rsidR="00000000" w:rsidRPr="00000000">
        <w:rPr>
          <w:rFonts w:ascii="Google Sans" w:cs="Google Sans" w:eastAsia="Google Sans" w:hAnsi="Google Sans"/>
          <w:color w:val="1f1f1f"/>
          <w:rtl w:val="0"/>
        </w:rPr>
        <w:t xml:space="preserve">, an agentic vision-language model architecture designed for generalized visual CAPTCHA solving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Halligan demonstrates that modern vision models break the foundational security assumption that visual puzzles are inherently hard for bots while remaining simple for humans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Operating as an autonomous agent equipped with GUI automation modules and spatial exploration tools—such as clicking, swapping, sliding, and dragging elements—Halligan converts arbitrary visual challenges into formal search optimization problems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Evaluated against unseen visual challenges in live commercial deployments over a thirty-day trial, Halligan achieved a generalized solving rate of </w:t>
      </w:r>
      <w:r w:rsidDel="00000000" w:rsidR="00000000" w:rsidRPr="00000000">
        <w:rPr>
          <w:rFonts w:ascii="Google Sans" w:cs="Google Sans" w:eastAsia="Google Sans" w:hAnsi="Google Sans"/>
          <w:b w:val="1"/>
          <w:bCs w:val="1"/>
          <w:color w:val="1f1f1f"/>
          <w:rtl w:val="0"/>
        </w:rPr>
        <w:t xml:space="preserve">70.6%</w:t>
      </w:r>
      <w:r w:rsidDel="00000000" w:rsidR="00000000" w:rsidRPr="00000000">
        <w:rPr>
          <w:rFonts w:ascii="Google Sans" w:cs="Google Sans" w:eastAsia="Google Sans" w:hAnsi="Google Sans"/>
          <w:color w:val="1f1f1f"/>
          <w:rtl w:val="0"/>
        </w:rPr>
        <w:t xml:space="preserve"> without requiring domain-specific re-training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system demonstrated that multimodal models possessing spatial-visual reasoning can deconstruct visual puzzles, assess prospective solutions via chain-of-thought verification, and execute precise physical interaction paths to clear challenges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Complementing this finding, Deng et al. published </w:t>
      </w:r>
      <w:r w:rsidDel="00000000" w:rsidR="00000000" w:rsidRPr="00000000">
        <w:rPr>
          <w:rFonts w:ascii="Google Sans" w:cs="Google Sans" w:eastAsia="Google Sans" w:hAnsi="Google Sans"/>
          <w:b w:val="1"/>
          <w:bCs w:val="1"/>
          <w:color w:val="1f1f1f"/>
          <w:rtl w:val="0"/>
        </w:rPr>
        <w:t xml:space="preserve">Oedipus</w:t>
      </w:r>
      <w:r w:rsidDel="00000000" w:rsidR="00000000" w:rsidRPr="00000000">
        <w:rPr>
          <w:rFonts w:ascii="Google Sans" w:cs="Google Sans" w:eastAsia="Google Sans" w:hAnsi="Google Sans"/>
          <w:color w:val="1f1f1f"/>
          <w:rtl w:val="0"/>
        </w:rPr>
        <w:t xml:space="preserve"> at the 2025 ACM Conference on Computer and Communications Security (ACM CCS '25)</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researchers evaluated the capabilities of LLM-enhanced solvers against reasoning CAPTCHAs, which were explicitly designed to resist standard machine learning OCR through complex logical deduction, relational tasks, and spatial puzzles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revealed that breaking down reasoning CAPTCHAs into structured subtasks guided by Chain-of-Thought (CoT) prompting enables LLM solvers to interpret ambiguous instructions, isolate target visual cues, and compute correct coordinate responses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empirical results align with research presented at USENIX Security '24 detailing hybrid vision systems (</w:t>
      </w:r>
      <w:r w:rsidDel="00000000" w:rsidR="00000000" w:rsidRPr="00000000">
        <w:rPr>
          <w:rFonts w:ascii="Google Sans" w:cs="Google Sans" w:eastAsia="Google Sans" w:hAnsi="Google Sans"/>
          <w:i w:val="1"/>
          <w:iCs w:val="1"/>
          <w:color w:val="1f1f1f"/>
          <w:rtl w:val="0"/>
        </w:rPr>
        <w:t xml:space="preserve">PhishDecloaker</w:t>
      </w:r>
      <w:r w:rsidDel="00000000" w:rsidR="00000000" w:rsidRPr="00000000">
        <w:rPr>
          <w:rFonts w:ascii="Google Sans" w:cs="Google Sans" w:eastAsia="Google Sans" w:hAnsi="Google Sans"/>
          <w:color w:val="1f1f1f"/>
          <w:rtl w:val="0"/>
        </w:rPr>
        <w:t xml:space="preserve">) that systematically dismantle CAPTCHA cloaking layers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as well as investigations at USENIX Security '26 examining multimodal LLM solvers under adversarial defense constraints (</w:t>
      </w:r>
      <w:r w:rsidDel="00000000" w:rsidR="00000000" w:rsidRPr="00000000">
        <w:rPr>
          <w:rFonts w:ascii="Google Sans" w:cs="Google Sans" w:eastAsia="Google Sans" w:hAnsi="Google Sans"/>
          <w:i w:val="1"/>
          <w:iCs w:val="1"/>
          <w:color w:val="1f1f1f"/>
          <w:rtl w:val="0"/>
        </w:rPr>
        <w:t xml:space="preserve">COGNITION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Threat Dimension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Scripted Botnets (Pre-2024)</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Coordinated Autonomous Agent Swarms (2024–2026)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browser automation scripts (Selenium, Puppeteer, base Playwright)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reasoning engines and agentic loops (Browser-Use, AutoGPT, Claude Computer 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UI Interaction Model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Rigid document object model (DOM) navigation using hardcoded CSS selectors and XPath queries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and semantic screen parsing, dynamic accessibility tree mapping, coordinate-based GUI interactions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Workflow Adaptability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Halts execution when layouts change, field names mutate, or unexpected forms appear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Dynamically adjusts to interface mutations, handles form validation errors, and self-heals interaction workflows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Device Fingerprinting Profile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Identical or crudely randomized headless signatures; exposes WebGL, canvas, and audio anomalies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Anti-detect platforms (Multilogin, AdsPower) applying deterministic noise injection and coherent hardware parameters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Network Egress Topology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commercial VPNs, cloud data center subnets, high-concurrency IP footprints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residential rotating proxy networks (Bright Data, Oxylabs) mapped to local timezones and coordinates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Biometric &amp; Physical Dynamics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cursor paths, instantaneous field population, unnatural mechanical timings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Non-deterministic Bézier mouse curves, Gaussian keystroke intervals, intentional hesitations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Challenge-Response Resilience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Relies on third-party manual solving farms with 10–30s latency; fails dynamic puzzles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and API-driven vision-language models (Halligan, Oedipus) resolving complex visual and reasoning challenges directly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Identity Narrative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lists of stolen credentials; identical profile configurations across accounts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Procedurally generated synthetic personas featuring consistent life histories, documentation, and communication nuances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Quantified Financial Impact and Attack Targets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Syndicate Operations in Micro-Lending, BNPL, and Promotional Harvesting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operational target for autonomous agent swarms is the systematic extraction of capital from automated retail credit origination workflows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Micro-lending platforms, Buy-Now-Pay-Later (BNPL) providers, and consumer fintech services rely on real-time decisioning engines engineered to approve applications within seconds, minimizing customer onboarding friction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Organized syndicates exploit this automated velocity through synthetic identity 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Synthetic identity fraud does not rely on taking over an established user's account directly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Instead, attackers combine fabricated personal data with stolen, authentic identity fragments—frequently pairing an unissued or dormant Social Security Number (SSN) belonging to a minor or deceased person with an invented name, date of birth, and physical address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These synthetic profiles are introduced into credit bureau databases through minor inquiries, authorized user tradelines, or utility accounts until a baseline credit record is formed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established, autonomous agent swarms orchestrate the exploitation phase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swarm executes distributed, concurrent loan applications across dozens of instant-lending platforms and BNPL providers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Individual loan requests are calibrated to remain beneath automated anti-money laundering (AML) and manual fraud review limits—routinely between $50 and $300 in North American markets, or ₹5,000 to ₹25,000 in Indian digital lending channels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overloading a single lender, the swarm distributes low-volume requests across hundreds of financial endpoints simultaneously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interaction is executed from an isolated anti-detect browser session routed through a unique residential 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higher-tier credit attacks, agent rings execute programmatic credit building over three to six months, initiating small purchases and automated repayments to increase available limits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Once credit ceilings expand, the swarm coordinates a synchronized drawdown, extracting maximum credit balances across all lenders, routing capital through instant payment rails, and abandoning the accounts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borrower profiles are synthetic, debt collection efforts locate no real individual, causing lenders to write off the losses as unsecured credit defaults rather than organized fraud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Simultaneously, swarms extract referral bonuses, welcome incentives, and zero-percent promotional credit, transferring the proceeds through intermediate accounts to evade detection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Authoritative Loss Benchmarks and Industry Multipliers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data and benchmarking reports from risk analytics providers, federal regulatory agencies, and security vendors confirm the expanding financial and operational toll of automated synthetic fraud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i w:val="1"/>
          <w:iCs w:val="1"/>
          <w:color w:val="1f1f1f"/>
          <w:rtl w:val="0"/>
        </w:rPr>
        <w:t xml:space="preserve">LexisNexis Risk Solutions True Cost of Fraud Study</w:t>
      </w:r>
      <w:r w:rsidDel="00000000" w:rsidR="00000000" w:rsidRPr="00000000">
        <w:rPr>
          <w:rFonts w:ascii="Google Sans" w:cs="Google Sans" w:eastAsia="Google Sans" w:hAnsi="Google Sans"/>
          <w:color w:val="1f1f1f"/>
          <w:rtl w:val="0"/>
        </w:rPr>
        <w:t xml:space="preserve"> measures the total cost of fraud by calculating direct asset losses alongside legal fees, investigative costs, regulatory penalties, transaction processing fees, and customer replacement overhead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2025 North American findings reveal that the overall Fraud Multiplier has reached historic highs across financial sectors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 United States financial services institutions, every $1.00 of direct fraud loss results in a total cost of </w:t>
      </w:r>
      <w:r w:rsidDel="00000000" w:rsidR="00000000" w:rsidRPr="00000000">
        <w:rPr>
          <w:rFonts w:ascii="Google Sans" w:cs="Google Sans" w:eastAsia="Google Sans" w:hAnsi="Google Sans"/>
          <w:b w:val="1"/>
          <w:bCs w:val="1"/>
          <w:color w:val="1f1f1f"/>
          <w:rtl w:val="0"/>
        </w:rPr>
        <w:t xml:space="preserve">$5.75</w:t>
      </w:r>
      <w:r w:rsidDel="00000000" w:rsidR="00000000" w:rsidRPr="00000000">
        <w:rPr>
          <w:rFonts w:ascii="Google Sans" w:cs="Google Sans" w:eastAsia="Google Sans" w:hAnsi="Google Sans"/>
          <w:color w:val="1f1f1f"/>
          <w:rtl w:val="0"/>
        </w:rPr>
        <w:t xml:space="preserve">, an increase of nearly 44% compared to the $4.00 multiplier recorded in 2021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 United States lending institutions, the multiplier stands at </w:t>
      </w:r>
      <w:r w:rsidDel="00000000" w:rsidR="00000000" w:rsidRPr="00000000">
        <w:rPr>
          <w:rFonts w:ascii="Google Sans" w:cs="Google Sans" w:eastAsia="Google Sans" w:hAnsi="Google Sans"/>
          <w:b w:val="1"/>
          <w:bCs w:val="1"/>
          <w:color w:val="1f1f1f"/>
          <w:rtl w:val="0"/>
        </w:rPr>
        <w:t xml:space="preserve">$5.38</w:t>
      </w:r>
      <w:r w:rsidDel="00000000" w:rsidR="00000000" w:rsidRPr="00000000">
        <w:rPr>
          <w:rFonts w:ascii="Google Sans" w:cs="Google Sans" w:eastAsia="Google Sans" w:hAnsi="Google Sans"/>
          <w:color w:val="1f1f1f"/>
          <w:rtl w:val="0"/>
        </w:rPr>
        <w:t xml:space="preserve"> for every $1.00 lost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For Canadian financial services and lending firms, the fraud multiplier has risen to </w:t>
      </w:r>
      <w:r w:rsidDel="00000000" w:rsidR="00000000" w:rsidRPr="00000000">
        <w:rPr>
          <w:rFonts w:ascii="Google Sans" w:cs="Google Sans" w:eastAsia="Google Sans" w:hAnsi="Google Sans"/>
          <w:b w:val="1"/>
          <w:bCs w:val="1"/>
          <w:color w:val="1f1f1f"/>
          <w:rtl w:val="0"/>
        </w:rPr>
        <w:t xml:space="preserve">$4.99</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$5.42</w:t>
      </w:r>
      <w:r w:rsidDel="00000000" w:rsidR="00000000" w:rsidRPr="00000000">
        <w:rPr>
          <w:rFonts w:ascii="Google Sans" w:cs="Google Sans" w:eastAsia="Google Sans" w:hAnsi="Google Sans"/>
          <w:color w:val="1f1f1f"/>
          <w:rtl w:val="0"/>
        </w:rPr>
        <w:t xml:space="preserve"> per $1.00 lost, respectively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Risk professionals report vulnerability across every touchpoint: financial services institutions attribute </w:t>
      </w:r>
      <w:r w:rsidDel="00000000" w:rsidR="00000000" w:rsidRPr="00000000">
        <w:rPr>
          <w:rFonts w:ascii="Google Sans" w:cs="Google Sans" w:eastAsia="Google Sans" w:hAnsi="Google Sans"/>
          <w:b w:val="1"/>
          <w:bCs w:val="1"/>
          <w:color w:val="1f1f1f"/>
          <w:rtl w:val="0"/>
        </w:rPr>
        <w:t xml:space="preserve">30%</w:t>
      </w:r>
      <w:r w:rsidDel="00000000" w:rsidR="00000000" w:rsidRPr="00000000">
        <w:rPr>
          <w:rFonts w:ascii="Google Sans" w:cs="Google Sans" w:eastAsia="Google Sans" w:hAnsi="Google Sans"/>
          <w:color w:val="1f1f1f"/>
          <w:rtl w:val="0"/>
        </w:rPr>
        <w:t xml:space="preserve"> of fraud to account origination, </w:t>
      </w:r>
      <w:r w:rsidDel="00000000" w:rsidR="00000000" w:rsidRPr="00000000">
        <w:rPr>
          <w:rFonts w:ascii="Google Sans" w:cs="Google Sans" w:eastAsia="Google Sans" w:hAnsi="Google Sans"/>
          <w:b w:val="1"/>
          <w:bCs w:val="1"/>
          <w:color w:val="1f1f1f"/>
          <w:rtl w:val="0"/>
        </w:rPr>
        <w:t xml:space="preserve">31%</w:t>
      </w:r>
      <w:r w:rsidDel="00000000" w:rsidR="00000000" w:rsidRPr="00000000">
        <w:rPr>
          <w:rFonts w:ascii="Google Sans" w:cs="Google Sans" w:eastAsia="Google Sans" w:hAnsi="Google Sans"/>
          <w:color w:val="1f1f1f"/>
          <w:rtl w:val="0"/>
        </w:rPr>
        <w:t xml:space="preserve"> to ongoing transactions, and </w:t>
      </w:r>
      <w:r w:rsidDel="00000000" w:rsidR="00000000" w:rsidRPr="00000000">
        <w:rPr>
          <w:rFonts w:ascii="Google Sans" w:cs="Google Sans" w:eastAsia="Google Sans" w:hAnsi="Google Sans"/>
          <w:b w:val="1"/>
          <w:bCs w:val="1"/>
          <w:color w:val="1f1f1f"/>
          <w:rtl w:val="0"/>
        </w:rPr>
        <w:t xml:space="preserve">39%</w:t>
      </w:r>
      <w:r w:rsidDel="00000000" w:rsidR="00000000" w:rsidRPr="00000000">
        <w:rPr>
          <w:rFonts w:ascii="Google Sans" w:cs="Google Sans" w:eastAsia="Google Sans" w:hAnsi="Google Sans"/>
          <w:color w:val="1f1f1f"/>
          <w:rtl w:val="0"/>
        </w:rPr>
        <w:t xml:space="preserve"> to account login or credential access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 addition, </w:t>
      </w:r>
      <w:r w:rsidDel="00000000" w:rsidR="00000000" w:rsidRPr="00000000">
        <w:rPr>
          <w:rFonts w:ascii="Google Sans" w:cs="Google Sans" w:eastAsia="Google Sans" w:hAnsi="Google Sans"/>
          <w:b w:val="1"/>
          <w:bCs w:val="1"/>
          <w:color w:val="1f1f1f"/>
          <w:rtl w:val="0"/>
        </w:rPr>
        <w:t xml:space="preserve">44%</w:t>
      </w:r>
      <w:r w:rsidDel="00000000" w:rsidR="00000000" w:rsidRPr="00000000">
        <w:rPr>
          <w:rFonts w:ascii="Google Sans" w:cs="Google Sans" w:eastAsia="Google Sans" w:hAnsi="Google Sans"/>
          <w:color w:val="1f1f1f"/>
          <w:rtl w:val="0"/>
        </w:rPr>
        <w:t xml:space="preserve"> of financial institutions identify malicious bots as a major barrier to verifying customer identities, while </w:t>
      </w:r>
      <w:r w:rsidDel="00000000" w:rsidR="00000000" w:rsidRPr="00000000">
        <w:rPr>
          <w:rFonts w:ascii="Google Sans" w:cs="Google Sans" w:eastAsia="Google Sans" w:hAnsi="Google Sans"/>
          <w:b w:val="1"/>
          <w:bCs w:val="1"/>
          <w:color w:val="1f1f1f"/>
          <w:rtl w:val="0"/>
        </w:rPr>
        <w:t xml:space="preserve">48%</w:t>
      </w:r>
      <w:r w:rsidDel="00000000" w:rsidR="00000000" w:rsidRPr="00000000">
        <w:rPr>
          <w:rFonts w:ascii="Google Sans" w:cs="Google Sans" w:eastAsia="Google Sans" w:hAnsi="Google Sans"/>
          <w:color w:val="1f1f1f"/>
          <w:rtl w:val="0"/>
        </w:rPr>
        <w:t xml:space="preserve"> report sustained increases in monthly bot attack frequency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Compounding the problem, aggressive defensive filtering causes significant customer attrition: </w:t>
      </w:r>
      <w:r w:rsidDel="00000000" w:rsidR="00000000" w:rsidRPr="00000000">
        <w:rPr>
          <w:rFonts w:ascii="Google Sans" w:cs="Google Sans" w:eastAsia="Google Sans" w:hAnsi="Google Sans"/>
          <w:b w:val="1"/>
          <w:bCs w:val="1"/>
          <w:color w:val="1f1f1f"/>
          <w:rtl w:val="0"/>
        </w:rPr>
        <w:t xml:space="preserve">71%</w:t>
      </w:r>
      <w:r w:rsidDel="00000000" w:rsidR="00000000" w:rsidRPr="00000000">
        <w:rPr>
          <w:rFonts w:ascii="Google Sans" w:cs="Google Sans" w:eastAsia="Google Sans" w:hAnsi="Google Sans"/>
          <w:color w:val="1f1f1f"/>
          <w:rtl w:val="0"/>
        </w:rPr>
        <w:t xml:space="preserve"> of US lenders and </w:t>
      </w:r>
      <w:r w:rsidDel="00000000" w:rsidR="00000000" w:rsidRPr="00000000">
        <w:rPr>
          <w:rFonts w:ascii="Google Sans" w:cs="Google Sans" w:eastAsia="Google Sans" w:hAnsi="Google Sans"/>
          <w:b w:val="1"/>
          <w:bCs w:val="1"/>
          <w:color w:val="1f1f1f"/>
          <w:rtl w:val="0"/>
        </w:rPr>
        <w:t xml:space="preserve">78%</w:t>
      </w:r>
      <w:r w:rsidDel="00000000" w:rsidR="00000000" w:rsidRPr="00000000">
        <w:rPr>
          <w:rFonts w:ascii="Google Sans" w:cs="Google Sans" w:eastAsia="Google Sans" w:hAnsi="Google Sans"/>
          <w:color w:val="1f1f1f"/>
          <w:rtl w:val="0"/>
        </w:rPr>
        <w:t xml:space="preserve"> of Canadian lenders reported increased customer churn directly linked to fraud prevention friction, while </w:t>
      </w:r>
      <w:r w:rsidDel="00000000" w:rsidR="00000000" w:rsidRPr="00000000">
        <w:rPr>
          <w:rFonts w:ascii="Google Sans" w:cs="Google Sans" w:eastAsia="Google Sans" w:hAnsi="Google Sans"/>
          <w:b w:val="1"/>
          <w:bCs w:val="1"/>
          <w:color w:val="1f1f1f"/>
          <w:rtl w:val="0"/>
        </w:rPr>
        <w:t xml:space="preserve">44%</w:t>
      </w:r>
      <w:r w:rsidDel="00000000" w:rsidR="00000000" w:rsidRPr="00000000">
        <w:rPr>
          <w:rFonts w:ascii="Google Sans" w:cs="Google Sans" w:eastAsia="Google Sans" w:hAnsi="Google Sans"/>
          <w:color w:val="1f1f1f"/>
          <w:rtl w:val="0"/>
        </w:rPr>
        <w:t xml:space="preserve"> of institutions continue to rely on manual review queues that cannot match autonomous agent speeds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filings and law enforcement records reflect parallel increases in fraud volume: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Federal Trade Commission (FTC) Consumer Sentinel Network Data Book revealed that nationwide fraud losses climbed past </w:t>
      </w:r>
      <w:r w:rsidDel="00000000" w:rsidR="00000000" w:rsidRPr="00000000">
        <w:rPr>
          <w:rFonts w:ascii="Google Sans" w:cs="Google Sans" w:eastAsia="Google Sans" w:hAnsi="Google Sans"/>
          <w:b w:val="1"/>
          <w:bCs w:val="1"/>
          <w:color w:val="1f1f1f"/>
          <w:rtl w:val="0"/>
        </w:rPr>
        <w:t xml:space="preserve">$10 billion in 2023</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and rose to </w:t>
      </w:r>
      <w:r w:rsidDel="00000000" w:rsidR="00000000" w:rsidRPr="00000000">
        <w:rPr>
          <w:rFonts w:ascii="Google Sans" w:cs="Google Sans" w:eastAsia="Google Sans" w:hAnsi="Google Sans"/>
          <w:b w:val="1"/>
          <w:bCs w:val="1"/>
          <w:color w:val="1f1f1f"/>
          <w:rtl w:val="0"/>
        </w:rPr>
        <w:t xml:space="preserve">$12.5 billion in 2024</w:t>
      </w:r>
      <w:r w:rsidDel="00000000" w:rsidR="00000000" w:rsidRPr="00000000">
        <w:rPr>
          <w:rFonts w:ascii="Google Sans" w:cs="Google Sans" w:eastAsia="Google Sans" w:hAnsi="Google Sans"/>
          <w:color w:val="1f1f1f"/>
          <w:rtl w:val="0"/>
        </w:rPr>
        <w:t xml:space="preserve">, representing a 25% year-over-year increase across 2.6 million consumer fraud filings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Imposter schemes and synthetic misrepresentation accounted for </w:t>
      </w:r>
      <w:r w:rsidDel="00000000" w:rsidR="00000000" w:rsidRPr="00000000">
        <w:rPr>
          <w:rFonts w:ascii="Google Sans" w:cs="Google Sans" w:eastAsia="Google Sans" w:hAnsi="Google Sans"/>
          <w:b w:val="1"/>
          <w:bCs w:val="1"/>
          <w:color w:val="1f1f1f"/>
          <w:rtl w:val="0"/>
        </w:rPr>
        <w:t xml:space="preserve">$2.95 billion</w:t>
      </w:r>
      <w:r w:rsidDel="00000000" w:rsidR="00000000" w:rsidRPr="00000000">
        <w:rPr>
          <w:rFonts w:ascii="Google Sans" w:cs="Google Sans" w:eastAsia="Google Sans" w:hAnsi="Google Sans"/>
          <w:color w:val="1f1f1f"/>
          <w:rtl w:val="0"/>
        </w:rPr>
        <w:t xml:space="preserve"> in direct losses in 2024</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Bank transfers and digital cryptocurrency rails accounted for the largest aggregate dollar losses, accelerated by automated identity deception and rapid settlement mechanisms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On November 13, 2024, the Financial Crimes Enforcement Network (FinCEN) issued </w:t>
      </w:r>
      <w:r w:rsidDel="00000000" w:rsidR="00000000" w:rsidRPr="00000000">
        <w:rPr>
          <w:rFonts w:ascii="Google Sans" w:cs="Google Sans" w:eastAsia="Google Sans" w:hAnsi="Google Sans"/>
          <w:b w:val="1"/>
          <w:bCs w:val="1"/>
          <w:color w:val="1f1f1f"/>
          <w:rtl w:val="0"/>
        </w:rPr>
        <w:t xml:space="preserve">FIN-2024-Alert004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FinCEN Alert on Fraud Schemes Involving Deepfake Media Targeting Financial Institutions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advisory alerted financial institutions to the deployment of generative artificial intelligence and synthetic identities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FinCEN documented how criminal networks use GenAI tools to produce synthetic identity profiles—combining compromised PII with synthetic government identity documents—to circumvent automated Know-Your-Customer (KYC) onboarding engines, establish fraudulent accounts, and compromise identity verification pipelines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fraud telemetry providers document comparable growth across enterprise networks:</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BioCatch’s global banking telemetry documented a </w:t>
      </w:r>
      <w:r w:rsidDel="00000000" w:rsidR="00000000" w:rsidRPr="00000000">
        <w:rPr>
          <w:rFonts w:ascii="Google Sans" w:cs="Google Sans" w:eastAsia="Google Sans" w:hAnsi="Google Sans"/>
          <w:b w:val="1"/>
          <w:bCs w:val="1"/>
          <w:color w:val="1f1f1f"/>
          <w:rtl w:val="0"/>
        </w:rPr>
        <w:t xml:space="preserve">65% increase in scams in 2025 compared to 2024</w:t>
      </w:r>
      <w:r w:rsidDel="00000000" w:rsidR="00000000" w:rsidRPr="00000000">
        <w:rPr>
          <w:rFonts w:ascii="Google Sans" w:cs="Google Sans" w:eastAsia="Google Sans" w:hAnsi="Google Sans"/>
          <w:color w:val="1f1f1f"/>
          <w:rtl w:val="0"/>
        </w:rPr>
        <w:t xml:space="preserve">, with reported scam activity in the United States and Canada quadrupling relative to 2023 levels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i w:val="1"/>
          <w:iCs w:val="1"/>
          <w:color w:val="1f1f1f"/>
          <w:rtl w:val="0"/>
        </w:rPr>
        <w:t xml:space="preserve">2025 Digital Banking Fraud Trends in the U.S.</w:t>
      </w:r>
      <w:r w:rsidDel="00000000" w:rsidR="00000000" w:rsidRPr="00000000">
        <w:rPr>
          <w:rFonts w:ascii="Google Sans" w:cs="Google Sans" w:eastAsia="Google Sans" w:hAnsi="Google Sans"/>
          <w:color w:val="1f1f1f"/>
          <w:rtl w:val="0"/>
        </w:rPr>
        <w:t xml:space="preserve"> report revealed a </w:t>
      </w:r>
      <w:r w:rsidDel="00000000" w:rsidR="00000000" w:rsidRPr="00000000">
        <w:rPr>
          <w:rFonts w:ascii="Google Sans" w:cs="Google Sans" w:eastAsia="Google Sans" w:hAnsi="Google Sans"/>
          <w:b w:val="1"/>
          <w:bCs w:val="1"/>
          <w:color w:val="1f1f1f"/>
          <w:rtl w:val="0"/>
        </w:rPr>
        <w:t xml:space="preserve">168% surge in reported money mule accounts</w:t>
      </w:r>
      <w:r w:rsidDel="00000000" w:rsidR="00000000" w:rsidRPr="00000000">
        <w:rPr>
          <w:rFonts w:ascii="Google Sans" w:cs="Google Sans" w:eastAsia="Google Sans" w:hAnsi="Google Sans"/>
          <w:color w:val="1f1f1f"/>
          <w:rtl w:val="0"/>
        </w:rPr>
        <w:t xml:space="preserve">, which supply the operational liquidity layer for automated fraud syndicates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Mid-market financial institutions experienced a </w:t>
      </w:r>
      <w:r w:rsidDel="00000000" w:rsidR="00000000" w:rsidRPr="00000000">
        <w:rPr>
          <w:rFonts w:ascii="Google Sans" w:cs="Google Sans" w:eastAsia="Google Sans" w:hAnsi="Google Sans"/>
          <w:b w:val="1"/>
          <w:bCs w:val="1"/>
          <w:color w:val="1f1f1f"/>
          <w:rtl w:val="0"/>
        </w:rPr>
        <w:t xml:space="preserve">130% rise</w:t>
      </w:r>
      <w:r w:rsidDel="00000000" w:rsidR="00000000" w:rsidRPr="00000000">
        <w:rPr>
          <w:rFonts w:ascii="Google Sans" w:cs="Google Sans" w:eastAsia="Google Sans" w:hAnsi="Google Sans"/>
          <w:color w:val="1f1f1f"/>
          <w:rtl w:val="0"/>
        </w:rPr>
        <w:t xml:space="preserve"> in mule operations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India, digital banking fraud cases tripled in 2024, with account takeover representing 55% of all digital fraud incidents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Crucially, BioCatch telemetry revealed that nearly </w:t>
      </w:r>
      <w:r w:rsidDel="00000000" w:rsidR="00000000" w:rsidRPr="00000000">
        <w:rPr>
          <w:rFonts w:ascii="Google Sans" w:cs="Google Sans" w:eastAsia="Google Sans" w:hAnsi="Google Sans"/>
          <w:b w:val="1"/>
          <w:bCs w:val="1"/>
          <w:color w:val="1f1f1f"/>
          <w:rtl w:val="0"/>
        </w:rPr>
        <w:t xml:space="preserve">25% of all unauthorized digital fraud occurred on recognized, trusted devices</w:t>
      </w:r>
      <w:r w:rsidDel="00000000" w:rsidR="00000000" w:rsidRPr="00000000">
        <w:rPr>
          <w:rFonts w:ascii="Google Sans" w:cs="Google Sans" w:eastAsia="Google Sans" w:hAnsi="Google Sans"/>
          <w:color w:val="1f1f1f"/>
          <w:rtl w:val="0"/>
        </w:rPr>
        <w:t xml:space="preserve">, showing that attackers are bypassing device reputation by mimicking or hijacking authorized environments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Arkose Labs documented a </w:t>
      </w:r>
      <w:r w:rsidDel="00000000" w:rsidR="00000000" w:rsidRPr="00000000">
        <w:rPr>
          <w:rFonts w:ascii="Google Sans" w:cs="Google Sans" w:eastAsia="Google Sans" w:hAnsi="Google Sans"/>
          <w:b w:val="1"/>
          <w:bCs w:val="1"/>
          <w:color w:val="1f1f1f"/>
          <w:rtl w:val="0"/>
        </w:rPr>
        <w:t xml:space="preserve">5x (500%) increase</w:t>
      </w:r>
      <w:r w:rsidDel="00000000" w:rsidR="00000000" w:rsidRPr="00000000">
        <w:rPr>
          <w:rFonts w:ascii="Google Sans" w:cs="Google Sans" w:eastAsia="Google Sans" w:hAnsi="Google Sans"/>
          <w:color w:val="1f1f1f"/>
          <w:rtl w:val="0"/>
        </w:rPr>
        <w:t xml:space="preserve"> in account creation attacks targeting the fintech sector as threat actors targeted customer verification workflows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Across digital streaming and online services, sign-up attacks rose </w:t>
      </w:r>
      <w:r w:rsidDel="00000000" w:rsidR="00000000" w:rsidRPr="00000000">
        <w:rPr>
          <w:rFonts w:ascii="Google Sans" w:cs="Google Sans" w:eastAsia="Google Sans" w:hAnsi="Google Sans"/>
          <w:b w:val="1"/>
          <w:bCs w:val="1"/>
          <w:color w:val="1f1f1f"/>
          <w:rtl w:val="0"/>
        </w:rPr>
        <w:t xml:space="preserve">800%</w:t>
      </w:r>
      <w:r w:rsidDel="00000000" w:rsidR="00000000" w:rsidRPr="00000000">
        <w:rPr>
          <w:rFonts w:ascii="Google Sans" w:cs="Google Sans" w:eastAsia="Google Sans" w:hAnsi="Google Sans"/>
          <w:color w:val="1f1f1f"/>
          <w:rtl w:val="0"/>
        </w:rPr>
        <w:t xml:space="preserve">, account management abuse increased </w:t>
      </w:r>
      <w:r w:rsidDel="00000000" w:rsidR="00000000" w:rsidRPr="00000000">
        <w:rPr>
          <w:rFonts w:ascii="Google Sans" w:cs="Google Sans" w:eastAsia="Google Sans" w:hAnsi="Google Sans"/>
          <w:b w:val="1"/>
          <w:bCs w:val="1"/>
          <w:color w:val="1f1f1f"/>
          <w:rtl w:val="0"/>
        </w:rPr>
        <w:t xml:space="preserve">212%</w:t>
      </w:r>
      <w:r w:rsidDel="00000000" w:rsidR="00000000" w:rsidRPr="00000000">
        <w:rPr>
          <w:rFonts w:ascii="Google Sans" w:cs="Google Sans" w:eastAsia="Google Sans" w:hAnsi="Google Sans"/>
          <w:color w:val="1f1f1f"/>
          <w:rtl w:val="0"/>
        </w:rPr>
        <w:t xml:space="preserve">, and malicious bot traffic grew </w:t>
      </w:r>
      <w:r w:rsidDel="00000000" w:rsidR="00000000" w:rsidRPr="00000000">
        <w:rPr>
          <w:rFonts w:ascii="Google Sans" w:cs="Google Sans" w:eastAsia="Google Sans" w:hAnsi="Google Sans"/>
          <w:b w:val="1"/>
          <w:bCs w:val="1"/>
          <w:color w:val="1f1f1f"/>
          <w:rtl w:val="0"/>
        </w:rPr>
        <w:t xml:space="preserve">248%</w:t>
      </w:r>
      <w:r w:rsidDel="00000000" w:rsidR="00000000" w:rsidRPr="00000000">
        <w:rPr>
          <w:rFonts w:ascii="Google Sans" w:cs="Google Sans" w:eastAsia="Google Sans" w:hAnsi="Google Sans"/>
          <w:color w:val="1f1f1f"/>
          <w:rtl w:val="0"/>
        </w:rPr>
        <w:t xml:space="preserve"> within a single calendar quarter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the </w:t>
      </w:r>
      <w:r w:rsidDel="00000000" w:rsidR="00000000" w:rsidRPr="00000000">
        <w:rPr>
          <w:rFonts w:ascii="Google Sans" w:cs="Google Sans" w:eastAsia="Google Sans" w:hAnsi="Google Sans"/>
          <w:i w:val="1"/>
          <w:iCs w:val="1"/>
          <w:color w:val="1f1f1f"/>
          <w:rtl w:val="0"/>
        </w:rPr>
        <w:t xml:space="preserve">2026 Agentic AI Security Report</w:t>
      </w:r>
      <w:r w:rsidDel="00000000" w:rsidR="00000000" w:rsidRPr="00000000">
        <w:rPr>
          <w:rFonts w:ascii="Google Sans" w:cs="Google Sans" w:eastAsia="Google Sans" w:hAnsi="Google Sans"/>
          <w:color w:val="1f1f1f"/>
          <w:rtl w:val="0"/>
        </w:rPr>
        <w:t xml:space="preserve">, Arkose Labs noted that </w:t>
      </w:r>
      <w:r w:rsidDel="00000000" w:rsidR="00000000" w:rsidRPr="00000000">
        <w:rPr>
          <w:rFonts w:ascii="Google Sans" w:cs="Google Sans" w:eastAsia="Google Sans" w:hAnsi="Google Sans"/>
          <w:b w:val="1"/>
          <w:bCs w:val="1"/>
          <w:color w:val="1f1f1f"/>
          <w:rtl w:val="0"/>
        </w:rPr>
        <w:t xml:space="preserve">97% of enterprise cybersecurity executives anticipate an AI-agent-driven security breach within twelve months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Sift’s </w:t>
      </w:r>
      <w:r w:rsidDel="00000000" w:rsidR="00000000" w:rsidRPr="00000000">
        <w:rPr>
          <w:rFonts w:ascii="Google Sans" w:cs="Google Sans" w:eastAsia="Google Sans" w:hAnsi="Google Sans"/>
          <w:i w:val="1"/>
          <w:iCs w:val="1"/>
          <w:color w:val="1f1f1f"/>
          <w:rtl w:val="0"/>
        </w:rPr>
        <w:t xml:space="preserve">Digital Trust &amp; Safety Index</w:t>
      </w:r>
      <w:r w:rsidDel="00000000" w:rsidR="00000000" w:rsidRPr="00000000">
        <w:rPr>
          <w:rFonts w:ascii="Google Sans" w:cs="Google Sans" w:eastAsia="Google Sans" w:hAnsi="Google Sans"/>
          <w:color w:val="1f1f1f"/>
          <w:rtl w:val="0"/>
        </w:rPr>
        <w:t xml:space="preserve"> documented an ongoing surge in automated exploitation, highlighting a </w:t>
      </w:r>
      <w:r w:rsidDel="00000000" w:rsidR="00000000" w:rsidRPr="00000000">
        <w:rPr>
          <w:rFonts w:ascii="Google Sans" w:cs="Google Sans" w:eastAsia="Google Sans" w:hAnsi="Google Sans"/>
          <w:b w:val="1"/>
          <w:bCs w:val="1"/>
          <w:color w:val="1f1f1f"/>
          <w:rtl w:val="0"/>
        </w:rPr>
        <w:t xml:space="preserve">211% increase in fraud attacks targeting BNPL services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while automated account takeover (ATO) bot attacks surged by </w:t>
      </w:r>
      <w:r w:rsidDel="00000000" w:rsidR="00000000" w:rsidRPr="00000000">
        <w:rPr>
          <w:rFonts w:ascii="Google Sans" w:cs="Google Sans" w:eastAsia="Google Sans" w:hAnsi="Google Sans"/>
          <w:b w:val="1"/>
          <w:bCs w:val="1"/>
          <w:color w:val="1f1f1f"/>
          <w:rtl w:val="0"/>
        </w:rPr>
        <w:t xml:space="preserve">427%</w:t>
      </w:r>
      <w:r w:rsidDel="00000000" w:rsidR="00000000" w:rsidRPr="00000000">
        <w:rPr>
          <w:rFonts w:ascii="Google Sans" w:cs="Google Sans" w:eastAsia="Google Sans" w:hAnsi="Google Sans"/>
          <w:color w:val="1f1f1f"/>
          <w:rtl w:val="0"/>
        </w:rPr>
        <w:t xml:space="preserve"> during peak attack cycles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Organization / Regulatory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 / 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Measured Loss / Rate of Increase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Threat Topology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LexisNexis Risk Solutions (2025)</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Cost of Fraud Multiplier (U.S. Financial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$5.75 per $1.00</w:t>
            </w:r>
            <w:r w:rsidDel="00000000" w:rsidR="00000000" w:rsidRPr="00000000">
              <w:rPr>
                <w:rFonts w:ascii="Google Sans" w:cs="Google Sans" w:eastAsia="Google Sans" w:hAnsi="Google Sans"/>
                <w:color w:val="1f1f1f"/>
                <w:rtl w:val="0"/>
              </w:rPr>
              <w:t xml:space="preserve"> lost (up from $4.00 in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bots, synthetic identity rings, mobile fraud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LexisNexis Risk Solutions (2025)</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Cost of Fraud Multiplier (U.S. Lending / Credit)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$5.38 per $1.00</w:t>
            </w:r>
            <w:r w:rsidDel="00000000" w:rsidR="00000000" w:rsidRPr="00000000">
              <w:rPr>
                <w:rFonts w:ascii="Google Sans" w:cs="Google Sans" w:eastAsia="Google Sans" w:hAnsi="Google Sans"/>
                <w:color w:val="1f1f1f"/>
                <w:rtl w:val="0"/>
              </w:rPr>
              <w:t xml:space="preserve"> lost (up from $4.16 in 2021)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Account opening fraud (30%), unauthorized access (39%)</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FTC Consumer Sentinel (2024)</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Nationwide Consumer Fraud Losses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$12.5 Billion</w:t>
            </w:r>
            <w:r w:rsidDel="00000000" w:rsidR="00000000" w:rsidRPr="00000000">
              <w:rPr>
                <w:rFonts w:ascii="Google Sans" w:cs="Google Sans" w:eastAsia="Google Sans" w:hAnsi="Google Sans"/>
                <w:color w:val="1f1f1f"/>
                <w:rtl w:val="0"/>
              </w:rPr>
              <w:t xml:space="preserve"> (25% increase over 2023)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Imposter schemes ($2.95B), synthetic identity theft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FinCEN Advisory FIN-2024-Alert004</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Federal Regulatory Enforcement Alert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Issued November 13,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GenAI deepfakes, synthetic PII, automated KYC bypass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BioCatch Banking Telemetry (2025)</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20, 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Banking Money Mule 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+168% surge</w:t>
            </w:r>
            <w:r w:rsidDel="00000000" w:rsidR="00000000" w:rsidRPr="00000000">
              <w:rPr>
                <w:rFonts w:ascii="Google Sans" w:cs="Google Sans" w:eastAsia="Google Sans" w:hAnsi="Google Sans"/>
                <w:color w:val="1f1f1f"/>
                <w:rtl w:val="0"/>
              </w:rPr>
              <w:t xml:space="preserve"> (mid-market mules up 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money mule rings, trusted device mimicry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Arkose Labs Threat Intelligence (2025/2026)</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 &amp; Streaming Account Attacks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 (Fintech)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+800% (Sign-ups)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agent registration, verification bypass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Sift Digital Trust &amp; Safety Index</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33, 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BNPL Fraud &amp; Bot Spikes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+211% (BNPL)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+427% (ATO spikes)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credit harvesting, credential stuffing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State-of-the-Art Defense Blindspots and Architectural Failure Modes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Single-Session Risk Scoring Fallacy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failure point of state-of-the-art fraud engines lies in their underlying statistical formulation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Conventional anti-fraud architectures evaluate risk probabilistically on an isolated, per-session basis: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05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6305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75895" cy="263843"/>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5895" cy="263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an instantaneous feature vector of client-side signals: IP address reputation, device canvas hash, typing speed, TLS fingerprint, and email domain validity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adversary deploys a coordinated autonomous agent swarm, this isolated model breaks down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Swarm operations avoid single-point repetition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syndicate launches two hundred autonomous agents to execute micro-credit applications, each agent runs inside an isolated anti-detect browser container, connects through an independent residential ISP IP, and uses an LLM to generate human-like input variance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each discrete session </w:t>
      </w:r>
      <w:r w:rsidDel="00000000" w:rsidR="00000000" w:rsidRPr="00000000">
        <w:rPr>
          <w:rFonts w:ascii="Google Sans" w:cs="Google Sans" w:eastAsia="Google Sans" w:hAnsi="Google Sans"/>
          <w:color w:val="1f1f1f"/>
        </w:rPr>
        <w:drawing>
          <wp:inline distB="19050" distT="19050" distL="19050" distR="19050">
            <wp:extent cx="67627" cy="2705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7627" cy="270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extracted feature vector </w:t>
      </w:r>
      <w:r w:rsidDel="00000000" w:rsidR="00000000" w:rsidRPr="00000000">
        <w:rPr>
          <w:rFonts w:ascii="Google Sans" w:cs="Google Sans" w:eastAsia="Google Sans" w:hAnsi="Google Sans"/>
          <w:color w:val="1f1f1f"/>
        </w:rPr>
        <w:drawing>
          <wp:inline distB="19050" distT="19050" distL="19050" distR="19050">
            <wp:extent cx="175895" cy="263843"/>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75895" cy="2638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falls within normal statistical ranges:</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residential IP demonstrates clean network history and low fraud scores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browser canvas and WebGL fingerprints are synthetically coherent and unique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keystroke intervals and cursor physics match genuine biological distributions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identity fragments match a valid credit bureau record</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each session is analyzed independently, the isolated risk engine scores each agent as low risk (</w:t>
      </w:r>
      <w:r w:rsidDel="00000000" w:rsidR="00000000" w:rsidRPr="00000000">
        <w:rPr>
          <w:rFonts w:ascii="Google Sans" w:cs="Google Sans" w:eastAsia="Google Sans" w:hAnsi="Google Sans"/>
          <w:color w:val="1f1f1f"/>
        </w:rPr>
        <w:drawing>
          <wp:inline distB="19050" distT="19050" distL="19050" distR="19050">
            <wp:extent cx="2042322" cy="245079"/>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42322" cy="2450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grants approval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systemic threat signal—the structural synchronization, the shared behavioral graph topologies, the correlated navigation paths across endpoints, and the temporal clustering of actions—exists exclusively in the inter-session hypergraph: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9466"/>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05500" cy="729466"/>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traditional perimeter engines maintain no real-time cross-session behavioral memory across ostensibly unrelated accounts, the swarm operates undetected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Invalidation of Client-Side Device Fingerprinting and IP Reputation Engines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Client-side device fingerprinting—historically reliant on querying HTML5 Canvas, WebGL, AudioContext, and HTTP headers—was founded on the premise that hardware execution environments leak an immutable, entropy-rich identifier that cannot be modified without corrupting the browser environment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Modern anti-detect software and residential proxy architectures have invalidated this premise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Anti-detect platforms modify the Chromium source code directly at the C++ interface level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fingerprinting scripts query canvas.getContext('2d') to render complex 2D shapes, font glyphs, and gradients, the anti-detect engine injects consistent mathematical noise into the color buffer calculations before returning the serialized image via .toDataURL() or .getImageData()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resulting hash is unique across profiles while remaining stable across multiple sessions run by the same agent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WebGL, the browser engine overrides gl.getParameter() queries, spoofing unmasked vendor and renderer strings (such as reporting an Apple M-series or Nvidia GPU regardless of underlying host hardware) while injecting noise into 3D shader rasterization routines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AudioContext fingerprinting is bypassed through similar methods: scripts that process synthetic audio signals via OfflineAudioContext to detect floating-point mathematical rounding variations across hardware are neutralized by noise injection into the synthesized waveform buffer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anti-detect platforms eliminate internal configuration discrepancies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an agent declares an Apple macOS environment in its user-agent, the browser updates navigator.platform, navigator.maxTouchPoints, WebGL extension lists, and User-Agent Client Hints (Sec-CH-UA-Platform-Version), while eliminating headless automation signatures such as missing window.chrome.runtime objects or detectable CDP bindings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residential rotating proxy providers manage access to tens of millions of consumer broadband and mobile connections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agent initiates an HTTP session, outbound traffic routes through a genuine residential connection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legacy IP reputation systems, this traffic exhibits clean reverse-DNS entries, low connection concurrency, and legitimate consumer ASNs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Threat intelligence feeds designed to flag data centers, public VPNs, and Tor exit nodes are unable to identify residential IP rotation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AI Vision Solvers Against Interactive and Passive Proof-of-Work</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over a decade, interactive challenge-response tests served as the primary perimeter defense against automated abuse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Between 2024 and 2026, the arrival of multimodal vision-language models compromised the efficacy of interactive puzzles and passive challenge-response tests, including Google reCAPTCHA, Cloudflare Turnstile, and Arkose Matchkey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puzzles such as Arkose Matchkey require spatial rotation (e.g., rotating a 3D animal to align with a hand icon), complex image categorization, or visual pathfinding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demonstrated by Teoh et al. (</w:t>
      </w:r>
      <w:r w:rsidDel="00000000" w:rsidR="00000000" w:rsidRPr="00000000">
        <w:rPr>
          <w:rFonts w:ascii="Google Sans" w:cs="Google Sans" w:eastAsia="Google Sans" w:hAnsi="Google Sans"/>
          <w:i w:val="1"/>
          <w:iCs w:val="1"/>
          <w:color w:val="1f1f1f"/>
          <w:rtl w:val="0"/>
        </w:rPr>
        <w:t xml:space="preserve">Halligan</w:t>
      </w:r>
      <w:r w:rsidDel="00000000" w:rsidR="00000000" w:rsidRPr="00000000">
        <w:rPr>
          <w:rFonts w:ascii="Google Sans" w:cs="Google Sans" w:eastAsia="Google Sans" w:hAnsi="Google Sans"/>
          <w:color w:val="1f1f1f"/>
          <w:rtl w:val="0"/>
        </w:rPr>
        <w:t xml:space="preserve">, USENIX Security '25) and Deng et al. (</w:t>
      </w:r>
      <w:r w:rsidDel="00000000" w:rsidR="00000000" w:rsidRPr="00000000">
        <w:rPr>
          <w:rFonts w:ascii="Google Sans" w:cs="Google Sans" w:eastAsia="Google Sans" w:hAnsi="Google Sans"/>
          <w:i w:val="1"/>
          <w:iCs w:val="1"/>
          <w:color w:val="1f1f1f"/>
          <w:rtl w:val="0"/>
        </w:rPr>
        <w:t xml:space="preserve">Oedipus</w:t>
      </w:r>
      <w:r w:rsidDel="00000000" w:rsidR="00000000" w:rsidRPr="00000000">
        <w:rPr>
          <w:rFonts w:ascii="Google Sans" w:cs="Google Sans" w:eastAsia="Google Sans" w:hAnsi="Google Sans"/>
          <w:color w:val="1f1f1f"/>
          <w:rtl w:val="0"/>
        </w:rPr>
        <w:t xml:space="preserve">, ACM CCS '25), agentic vision models resolve these challenges with high accuracy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solver intercepts the challenge canvas, visually isolating the reference anchor and the movable target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vision-language model evaluates the spatial geometry, calculates the required rotational degree or target coordinates, and issues humanized drag-and-drop inputs directly to the canvas via GUI automation tools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Using internal chain-of-thought verification, the agent evaluates the transformed image state, iterating until the target alignment is reached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Halligan’s 70.6% zero-shot success rate across live implementations confirms that reasoning-based visual puzzles no longer stop automated systems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challenges such as reCAPTCHA v3 and Cloudflare Turnstile operate invisibly, evaluating user interactions, event telemetry timing, and browser environment signals prior to form submission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Agent swarms bypass these systems by addressing both telemetry layers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Anti-detect browsers eliminate headless execution signatures and provide residential network provenance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agentic workflows execute natural warm-up routines prior to form interaction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LLM agent navigates the website, reviews terms of service, scrolls through content, hovers over secondary DOM elements, and generates organic cursor movements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the time the agent accesses the target form, the passive detection engine calculates a high human probability score, allowing the submission to proceed without triggering a challenge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Imperatives, Compliance Constraints, and the Adjudication Deadlock</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Mandates: EU AI Act, GDPR Article 22, and CFPB Circular 2023-03</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financial institutions deploy machine learning models to detect automated fraud, their automated enforcement actions are constrained by regulatory frameworks governing algorithmic transparency, consumer rights, and automated decisions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the European Union Artificial Intelligence Act (Regulation (EU) 2024/1689), AI systems deployed to evaluate the creditworthiness of natural persons or establish credit scores are classified as </w:t>
      </w:r>
      <w:r w:rsidDel="00000000" w:rsidR="00000000" w:rsidRPr="00000000">
        <w:rPr>
          <w:rFonts w:ascii="Google Sans" w:cs="Google Sans" w:eastAsia="Google Sans" w:hAnsi="Google Sans"/>
          <w:b w:val="1"/>
          <w:bCs w:val="1"/>
          <w:color w:val="1f1f1f"/>
          <w:rtl w:val="0"/>
        </w:rPr>
        <w:t xml:space="preserve">High-Risk AI Systems</w:t>
      </w:r>
      <w:r w:rsidDel="00000000" w:rsidR="00000000" w:rsidRPr="00000000">
        <w:rPr>
          <w:rFonts w:ascii="Google Sans" w:cs="Google Sans" w:eastAsia="Google Sans" w:hAnsi="Google Sans"/>
          <w:color w:val="1f1f1f"/>
          <w:rtl w:val="0"/>
        </w:rPr>
        <w:t xml:space="preserve"> (Annex III)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Deployers of high-risk systems must comply with strict statutory requirements:</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High-risk AI engines must ensure sufficient transparency to allow operators to interpret system outputs and evaluate their accuracy (Article 13).</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Automated mitigation systems cannot run in autonomous closed loops where credit is denied or accounts are frozen without operational human oversight mechanisms that allow human reviewers to understand, override, or reverse automated determinations (Article 14).</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System operators must maintain automated event logging to trace the data inputs and decision weights that triggered an intervention (Articles 10 &amp; 12).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Complementing this framework, Article 22 of the General Data Protection Regulation (GDPR) establishes that individuals have the right not to be subject to decisions based solely on automated processing, including profiling, which produce legal or similarly significant effects. While fraud prevention constitutes a legitimate interest, automated decisions that freeze consumer funds or block access require mechanisms for data subjects to obtain human intervention, express their perspective, and contest the automated decision. Recital 71 reinforces that automated decision-making requires meaningful disclosure of the underlying logic and anticipated consequences.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United States, automated credit decisions are governed by the Fair Credit Reporting Act (15 U.S.C. § 1681 et seq.) and the Equal Credit Opportunity Act (ECOA, 15 U.S.C. § 1691 et seq.), implemented under Consumer Financial Protection Bureau (CFPB) Regulation B (12 CFR Part 1002)</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September 2023, the CFPB issued </w:t>
      </w:r>
      <w:r w:rsidDel="00000000" w:rsidR="00000000" w:rsidRPr="00000000">
        <w:rPr>
          <w:rFonts w:ascii="Google Sans" w:cs="Google Sans" w:eastAsia="Google Sans" w:hAnsi="Google Sans"/>
          <w:b w:val="1"/>
          <w:bCs w:val="1"/>
          <w:color w:val="1f1f1f"/>
          <w:rtl w:val="0"/>
        </w:rPr>
        <w:t xml:space="preserve">Consumer Financial Protection Circular 2023-03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Adverse action notification requirements and the proper use of the CFPB’s sample forms provided in Regulation B</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guidance sets binding standards for automated anti-fraud and credit decisioning systems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Creditors cannot justify failures to comply with adverse action notification requirements by asserting that the technology used to make credit decisions is too complex or opaque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Circular 2023-03 mandates that a creditor must disclose the specific, accurate reasons for an adverse action, even when the decision is driven by complex machine learning algorithms or proprietary black-box models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Creditors cannot rely on generic, approximated, or sample-form reason codes if those selections do not accurately reflect the factors that produced the denial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an AI system flags or rejects an applicant based on correlated fraud patterns, the institution must state the specific factual factors that caused the denial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and Legal Deadlock of Black-Box Risk Scoring</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conflict between autonomous agent swarms and explainability mandates has produced an operational deadlock for enterprise compliance and fraud teams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an advanced deep learning engine evaluates an application from an autonomous agent, it typically produces an uncalibrated scalar probability, such as "Fraud Risk: 82% Suspicious"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Under current regulatory requirements, this output cannot legally or operationally justify an automated adverse action, such as freezing funds, closing an account, or declining a loan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Informing an applicant or regulatory body that an application was denied because an algorithm generated an "82% Suspicious" score violates CFPB Circular 2023-03 and Regulation B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Creditors are required to disclose the specific, verifiable factors that led to the rejection, such as unverifiable address records, inconsistent credit inquiries, or mismatched Social Security issuance dates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scalar probability score cannot be translated into legally defensible adverse action codes without explainable model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regulatory liability while mitigating customer attrition—given that 71% of US lenders report customer churn resulting from aggressive fraud friction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—institutions frequently route high-risk scores to manual review queues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human analysts cannot visually distinguish between an authentic applicant and an autonomous agent utilizing an anti-detect profile with clean residential IP telemetry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manual investigations take hours or days, undermining the real-time processing required by fintech platforms and leaving lenders exposed to coordinated burst attacks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EU-based firm uses an unexplainable model to execute automated account closures, it faces administrative penalties under the EU AI Act for inadequate transparency and auditability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Compliance officers cannot demonstrate the absence of algorithmic bias or improper exclusion if the underlying model cannot document the specific evidence chain used to reach its conclusion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Framework</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Legal Mandate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Enforcement Constraint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Black-Box Defense Failure Mode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EU AI Act (Regulation 2024/1689)</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High-risk classification for credit scoring; requires human oversight and technical transparency (Articles 13 &amp; 14)</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Prohibits fully autonomous enforcement actions without explainable outputs and verifiable audit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Uncalibrated risk scores (e.g., "82% Risk") cannot be audited for non-discrimination or system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GDPR Article 22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Restricts decisions based solely on automated processing producing legal or significant effects.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Mandates the right to human intervention, contestation, and meaningful explanation of decision logic.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learning scalar outputs provide no explainable factual basis to support contested account freezes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CFPB Circular 2023-03 / FCRA / ECOA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6,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specific, accurate factual reasons for adverse credit actions; bars generic disclosures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complexity or proprietary model architectures do not excuse non-compliance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Vague fraud scores cannot be mapped to legally compliant adverse action notices, risking enforcement 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Crime / AML Standards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Suspicious Activity Report (SAR) filing requirements under Bank Secrecy Act / FinCEN guidelines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verifiable, documentable evidence chains to establish suspect identities and criminal intent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anomaly flags cannot support SAR narratives without underlying behavioral indicators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Defense Evolution: Continuous Graph Intelligence and Behavioral Sequencing</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Addressing coordinated autonomous agent swarms while maintaining regulatory explainability requires retiring isolated, single-session risk scoring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Financial institutions and digital platforms must transition toward continuous, graph-based intelligence architectures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security architectures must implement Continuous Behavioral Sequencing (CBS) across user sessions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Rather than evaluating risk metrics at single checkpoints, such as registration or transaction submission, behavioral telemetry must be captured continuously throughout authenticated sessions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tracking micro-interactions—including application traversal speeds, field navigation sequences, copy-paste events (which occur in nearly 30% of fraud sessions compared to less than 1% of authentic banking sessions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and cognitive decision intervals—platforms can identify subtle behavioral synchronization across agent clusters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residential proxy rotation and anti-detect environments, fraud engines must correlate session metadata across accounts in real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Graph neural networks (GNNs) and entity-resolution models link disparate accounts based on temporal interaction bursts, behavioral structural similarities, shared payment recipient subnets, and transaction graph topology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Detecting a multi-agent swarm requires identifying coordinated community structures across sessions rather than evaluating individual users in isolation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to satisfy CFPB Circular 2023-03, FCRA adverse action requirements, and the EU AI Act, fraud engines must integrate probabilistic scoring models with deterministic evidence trees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outputting an opaque risk probability, defense platforms must generate structured, auditable evidence vectors: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26484"/>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05500" cy="52648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structured output provides compliance officers with verifiable evidence chains capable of withstanding regulatory scrutiny and supporting defensible enforcement 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Defending digital identity against autonomous persona swarms requires moving beyond static perimeter defenses to an integrated foundation of cross-session graph analytics, continuous behavioral tracking, and explainable decisioning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Research_A_Threat_Landscape_Context.md</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CAPTCHAs Still Bot-hard? Generalized Visual ... - USENIX, </w:t>
      </w:r>
      <w:hyperlink r:id="rId12">
        <w:r w:rsidDel="00000000" w:rsidR="00000000" w:rsidRPr="00000000">
          <w:rPr>
            <w:rFonts w:ascii="Google Sans" w:cs="Google Sans" w:eastAsia="Google Sans" w:hAnsi="Google Sans"/>
            <w:color w:val="0000ee"/>
            <w:sz w:val="24"/>
            <w:szCs w:val="24"/>
            <w:u w:val="single"/>
            <w:rtl w:val="0"/>
          </w:rPr>
          <w:t xml:space="preserve">https://www.usenix.org/system/files/usenixsecurity25-teoh.pdf</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Antidetect Browsers for 2026: Anti-Detect Browser Guide, </w:t>
      </w:r>
      <w:hyperlink r:id="rId13">
        <w:r w:rsidDel="00000000" w:rsidR="00000000" w:rsidRPr="00000000">
          <w:rPr>
            <w:rFonts w:ascii="Google Sans" w:cs="Google Sans" w:eastAsia="Google Sans" w:hAnsi="Google Sans"/>
            <w:color w:val="0000ee"/>
            <w:sz w:val="24"/>
            <w:szCs w:val="24"/>
            <w:u w:val="single"/>
            <w:rtl w:val="0"/>
          </w:rPr>
          <w:t xml:space="preserve">https://plisio.net/cybersecurity/antidetect-browsers</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 Dollar Lost to Fraud Costs North America's Financial, </w:t>
      </w:r>
      <w:hyperlink r:id="rId14">
        <w:r w:rsidDel="00000000" w:rsidR="00000000" w:rsidRPr="00000000">
          <w:rPr>
            <w:rFonts w:ascii="Google Sans" w:cs="Google Sans" w:eastAsia="Google Sans" w:hAnsi="Google Sans"/>
            <w:color w:val="0000ee"/>
            <w:sz w:val="24"/>
            <w:szCs w:val="24"/>
            <w:u w:val="single"/>
            <w:rtl w:val="0"/>
          </w:rPr>
          <w:t xml:space="preserve">https://risk.lexisnexis.com/global/en/about-us/press-room/press-release/20250910-fraud-multiplier</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LexisNexis® True Cost of Fraud™ Study, </w:t>
      </w:r>
      <w:hyperlink r:id="rId15">
        <w:r w:rsidDel="00000000" w:rsidR="00000000" w:rsidRPr="00000000">
          <w:rPr>
            <w:rFonts w:ascii="Google Sans" w:cs="Google Sans" w:eastAsia="Google Sans" w:hAnsi="Google Sans"/>
            <w:color w:val="0000ee"/>
            <w:sz w:val="24"/>
            <w:szCs w:val="24"/>
            <w:u w:val="single"/>
            <w:rtl w:val="0"/>
          </w:rPr>
          <w:t xml:space="preserve">https://risk.lexisnexis.com/insights-resources/research/us-ca-true-cost-of-fraud-study</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Lending Report of the Consumer Financial Protection Bureau, </w:t>
      </w:r>
      <w:hyperlink r:id="rId16">
        <w:r w:rsidDel="00000000" w:rsidR="00000000" w:rsidRPr="00000000">
          <w:rPr>
            <w:rFonts w:ascii="Google Sans" w:cs="Google Sans" w:eastAsia="Google Sans" w:hAnsi="Google Sans"/>
            <w:color w:val="0000ee"/>
            <w:sz w:val="24"/>
            <w:szCs w:val="24"/>
            <w:u w:val="single"/>
            <w:rtl w:val="0"/>
          </w:rPr>
          <w:t xml:space="preserve">https://www.federalregister.gov/documents/2024/07/02/2024-14533/fair-lending-report-of-the-consumer-financial-protection-bureau</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Acting Comptroller of the Currency Michael J. Hsu - OCC.gov, </w:t>
      </w:r>
      <w:hyperlink r:id="rId17">
        <w:r w:rsidDel="00000000" w:rsidR="00000000" w:rsidRPr="00000000">
          <w:rPr>
            <w:rFonts w:ascii="Google Sans" w:cs="Google Sans" w:eastAsia="Google Sans" w:hAnsi="Google Sans"/>
            <w:color w:val="0000ee"/>
            <w:sz w:val="24"/>
            <w:szCs w:val="24"/>
            <w:u w:val="single"/>
            <w:rtl w:val="0"/>
          </w:rPr>
          <w:t xml:space="preserve">https://www.occ.gov/news-issuances/speeches/2024/pub-speech-2024-61.pdf</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BioCatch Unveils Connect™ Portfolio to Help World's Leading, </w:t>
      </w:r>
      <w:hyperlink r:id="rId18">
        <w:r w:rsidDel="00000000" w:rsidR="00000000" w:rsidRPr="00000000">
          <w:rPr>
            <w:rFonts w:ascii="Google Sans" w:cs="Google Sans" w:eastAsia="Google Sans" w:hAnsi="Google Sans"/>
            <w:color w:val="0000ee"/>
            <w:sz w:val="24"/>
            <w:szCs w:val="24"/>
            <w:u w:val="single"/>
            <w:rtl w:val="0"/>
          </w:rPr>
          <w:t xml:space="preserve">https://www.biocatch.com/press-release/biocatch-unveils-connect-portfolio</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Glossary | Incogniton Knowledge Hub, </w:t>
      </w:r>
      <w:hyperlink r:id="rId19">
        <w:r w:rsidDel="00000000" w:rsidR="00000000" w:rsidRPr="00000000">
          <w:rPr>
            <w:rFonts w:ascii="Google Sans" w:cs="Google Sans" w:eastAsia="Google Sans" w:hAnsi="Google Sans"/>
            <w:color w:val="0000ee"/>
            <w:sz w:val="24"/>
            <w:szCs w:val="24"/>
            <w:u w:val="single"/>
            <w:rtl w:val="0"/>
          </w:rPr>
          <w:t xml:space="preserve">https://docs.incogniton.com/glossary</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Oedipus: LLM-enchanced Reasoning CAPTCHA Solver, </w:t>
      </w:r>
      <w:hyperlink r:id="rId20">
        <w:r w:rsidDel="00000000" w:rsidR="00000000" w:rsidRPr="00000000">
          <w:rPr>
            <w:rFonts w:ascii="Google Sans" w:cs="Google Sans" w:eastAsia="Google Sans" w:hAnsi="Google Sans"/>
            <w:color w:val="0000ee"/>
            <w:sz w:val="24"/>
            <w:szCs w:val="24"/>
            <w:u w:val="single"/>
            <w:rtl w:val="0"/>
          </w:rPr>
          <w:t xml:space="preserve">https://tianweiz07.github.io/Papers/25-ccs-1.pdf</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CAPTCHA-cloaked Phishing Websites via Hybrid Vision, </w:t>
      </w:r>
      <w:hyperlink r:id="rId21">
        <w:r w:rsidDel="00000000" w:rsidR="00000000" w:rsidRPr="00000000">
          <w:rPr>
            <w:rFonts w:ascii="Google Sans" w:cs="Google Sans" w:eastAsia="Google Sans" w:hAnsi="Google Sans"/>
            <w:color w:val="0000ee"/>
            <w:sz w:val="24"/>
            <w:szCs w:val="24"/>
            <w:u w:val="single"/>
            <w:rtl w:val="0"/>
          </w:rPr>
          <w:t xml:space="preserve">https://www.usenix.org/system/files/usenixsecurity24-teoh.pdf</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Protection Platform - Group-IB, </w:t>
      </w:r>
      <w:hyperlink r:id="rId22">
        <w:r w:rsidDel="00000000" w:rsidR="00000000" w:rsidRPr="00000000">
          <w:rPr>
            <w:rFonts w:ascii="Google Sans" w:cs="Google Sans" w:eastAsia="Google Sans" w:hAnsi="Google Sans"/>
            <w:color w:val="0000ee"/>
            <w:sz w:val="24"/>
            <w:szCs w:val="24"/>
            <w:u w:val="single"/>
            <w:rtl w:val="0"/>
          </w:rPr>
          <w:t xml:space="preserve">https://www.group-ib.com/products/fraud-protection/</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Antidetect Browsers for YouTube in 2026: Protect &amp; Scale, </w:t>
      </w:r>
      <w:hyperlink r:id="rId23">
        <w:r w:rsidDel="00000000" w:rsidR="00000000" w:rsidRPr="00000000">
          <w:rPr>
            <w:rFonts w:ascii="Google Sans" w:cs="Google Sans" w:eastAsia="Google Sans" w:hAnsi="Google Sans"/>
            <w:color w:val="0000ee"/>
            <w:sz w:val="24"/>
            <w:szCs w:val="24"/>
            <w:u w:val="single"/>
            <w:rtl w:val="0"/>
          </w:rPr>
          <w:t xml:space="preserve">https://dolphin-anty.com/blog/en/top-10-antidetect-browsers-for-youtube-in-2026-protect-scale-your-channels/</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CAPTCHAs Still Bot-hard? Generalized Visual ... - USENIX, </w:t>
      </w:r>
      <w:hyperlink r:id="rId24">
        <w:r w:rsidDel="00000000" w:rsidR="00000000" w:rsidRPr="00000000">
          <w:rPr>
            <w:rFonts w:ascii="Google Sans" w:cs="Google Sans" w:eastAsia="Google Sans" w:hAnsi="Google Sans"/>
            <w:color w:val="0000ee"/>
            <w:sz w:val="24"/>
            <w:szCs w:val="24"/>
            <w:u w:val="single"/>
            <w:rtl w:val="0"/>
          </w:rPr>
          <w:t xml:space="preserve">https://www.usenix.org/conference/usenixsecurity25/presentation/teoh</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under Vision: Understanding Visual-Spatial Cognition in, </w:t>
      </w:r>
      <w:hyperlink r:id="rId25">
        <w:r w:rsidDel="00000000" w:rsidR="00000000" w:rsidRPr="00000000">
          <w:rPr>
            <w:rFonts w:ascii="Google Sans" w:cs="Google Sans" w:eastAsia="Google Sans" w:hAnsi="Google Sans"/>
            <w:color w:val="0000ee"/>
            <w:sz w:val="24"/>
            <w:szCs w:val="24"/>
            <w:u w:val="single"/>
            <w:rtl w:val="0"/>
          </w:rPr>
          <w:t xml:space="preserve">https://arxiv.org/abs/2510.06067</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USENIX Security '26 Technical Sessions, </w:t>
      </w:r>
      <w:hyperlink r:id="rId26">
        <w:r w:rsidDel="00000000" w:rsidR="00000000" w:rsidRPr="00000000">
          <w:rPr>
            <w:rFonts w:ascii="Google Sans" w:cs="Google Sans" w:eastAsia="Google Sans" w:hAnsi="Google Sans"/>
            <w:color w:val="0000ee"/>
            <w:sz w:val="24"/>
            <w:szCs w:val="24"/>
            <w:u w:val="single"/>
            <w:rtl w:val="0"/>
          </w:rPr>
          <w:t xml:space="preserve">https://www.usenix.org/conference/usenixsecurity26/technical-sessions</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FinCEN Alert, FIN-2024-Alert004, November 13, 2024, </w:t>
      </w:r>
      <w:hyperlink r:id="rId27">
        <w:r w:rsidDel="00000000" w:rsidR="00000000" w:rsidRPr="00000000">
          <w:rPr>
            <w:rFonts w:ascii="Google Sans" w:cs="Google Sans" w:eastAsia="Google Sans" w:hAnsi="Google Sans"/>
            <w:color w:val="0000ee"/>
            <w:sz w:val="24"/>
            <w:szCs w:val="24"/>
            <w:u w:val="single"/>
            <w:rtl w:val="0"/>
          </w:rPr>
          <w:t xml:space="preserve">https://www.fincen.gov/system/files/shared/FinCEN-Alert-DeepFakes-Alert508FINAL.pdf</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LexisNexis® Fraud Intelligence Solutions Suite, </w:t>
      </w:r>
      <w:hyperlink r:id="rId28">
        <w:r w:rsidDel="00000000" w:rsidR="00000000" w:rsidRPr="00000000">
          <w:rPr>
            <w:rFonts w:ascii="Google Sans" w:cs="Google Sans" w:eastAsia="Google Sans" w:hAnsi="Google Sans"/>
            <w:color w:val="0000ee"/>
            <w:sz w:val="24"/>
            <w:szCs w:val="24"/>
            <w:u w:val="single"/>
            <w:rtl w:val="0"/>
          </w:rPr>
          <w:t xml:space="preserve">https://risk.lexisnexis.com/products/lexisnexis-fraud-intelligence</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Digital Banking Fraud Trends in North America - BioCatch, </w:t>
      </w:r>
      <w:hyperlink r:id="rId29">
        <w:r w:rsidDel="00000000" w:rsidR="00000000" w:rsidRPr="00000000">
          <w:rPr>
            <w:rFonts w:ascii="Google Sans" w:cs="Google Sans" w:eastAsia="Google Sans" w:hAnsi="Google Sans"/>
            <w:color w:val="0000ee"/>
            <w:sz w:val="24"/>
            <w:szCs w:val="24"/>
            <w:u w:val="single"/>
            <w:rtl w:val="0"/>
          </w:rPr>
          <w:t xml:space="preserve">https://www.biocatch.com/resources/white-paper/digital-banking-fraud-trends-nam-2024</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Scams in the U.S. and Canada: What the data really tells us - BioCatch, </w:t>
      </w:r>
      <w:hyperlink r:id="rId30">
        <w:r w:rsidDel="00000000" w:rsidR="00000000" w:rsidRPr="00000000">
          <w:rPr>
            <w:rFonts w:ascii="Google Sans" w:cs="Google Sans" w:eastAsia="Google Sans" w:hAnsi="Google Sans"/>
            <w:color w:val="0000ee"/>
            <w:sz w:val="24"/>
            <w:szCs w:val="24"/>
            <w:u w:val="single"/>
            <w:rtl w:val="0"/>
          </w:rPr>
          <w:t xml:space="preserve">https://www.biocatch.com/blog/scams-in-the-u.s.-and-canada</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Money mules in the midmarket: A growing threat - BioCatch, </w:t>
      </w:r>
      <w:hyperlink r:id="rId31">
        <w:r w:rsidDel="00000000" w:rsidR="00000000" w:rsidRPr="00000000">
          <w:rPr>
            <w:rFonts w:ascii="Google Sans" w:cs="Google Sans" w:eastAsia="Google Sans" w:hAnsi="Google Sans"/>
            <w:color w:val="0000ee"/>
            <w:sz w:val="24"/>
            <w:szCs w:val="24"/>
            <w:u w:val="single"/>
            <w:rtl w:val="0"/>
          </w:rPr>
          <w:t xml:space="preserve">https://www.biocatch.com/blog/money-mules-in-the-midmarket-a-growing-threat</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 Dollar Lost to a Fraudster Costs North America's Financial, </w:t>
      </w:r>
      <w:hyperlink r:id="rId32">
        <w:r w:rsidDel="00000000" w:rsidR="00000000" w:rsidRPr="00000000">
          <w:rPr>
            <w:rFonts w:ascii="Google Sans" w:cs="Google Sans" w:eastAsia="Google Sans" w:hAnsi="Google Sans"/>
            <w:color w:val="0000ee"/>
            <w:sz w:val="24"/>
            <w:szCs w:val="24"/>
            <w:u w:val="single"/>
            <w:rtl w:val="0"/>
          </w:rPr>
          <w:t xml:space="preserve">https://risk.lexisnexis.com/global/en/about-us/press-room/press-release/20240424-tcof-financial-services-lending</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Fraud, Identity Theft, and Other Scams - KPMG International, </w:t>
      </w:r>
      <w:hyperlink r:id="rId33">
        <w:r w:rsidDel="00000000" w:rsidR="00000000" w:rsidRPr="00000000">
          <w:rPr>
            <w:rFonts w:ascii="Google Sans" w:cs="Google Sans" w:eastAsia="Google Sans" w:hAnsi="Google Sans"/>
            <w:color w:val="0000ee"/>
            <w:sz w:val="24"/>
            <w:szCs w:val="24"/>
            <w:u w:val="single"/>
            <w:rtl w:val="0"/>
          </w:rPr>
          <w:t xml:space="preserve">https://kpmg.com/us/en/articles/2025/fraud-identity-theft-other-scams-reg-alert.html</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Arkose Labs | Threat Intelligence Media Industry Q3 2025 Infobrief, </w:t>
      </w:r>
      <w:hyperlink r:id="rId34">
        <w:r w:rsidDel="00000000" w:rsidR="00000000" w:rsidRPr="00000000">
          <w:rPr>
            <w:rFonts w:ascii="Google Sans" w:cs="Google Sans" w:eastAsia="Google Sans" w:hAnsi="Google Sans"/>
            <w:color w:val="0000ee"/>
            <w:sz w:val="24"/>
            <w:szCs w:val="24"/>
            <w:u w:val="single"/>
            <w:rtl w:val="0"/>
          </w:rPr>
          <w:t xml:space="preserve">https://cdn.prod.website-files.com/6a08a39dffcfb012b1c4a767/6a21bc628415b4cc5c114eb1_Arkose-Labs-Threat-Intelligence-Media-Industry-Q3-2025-Infobrief.pdf</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 of Scams And Fraud Tops $5 for Each Dollar of Loss, </w:t>
      </w:r>
      <w:hyperlink r:id="rId35">
        <w:r w:rsidDel="00000000" w:rsidR="00000000" w:rsidRPr="00000000">
          <w:rPr>
            <w:rFonts w:ascii="Google Sans" w:cs="Google Sans" w:eastAsia="Google Sans" w:hAnsi="Google Sans"/>
            <w:color w:val="0000ee"/>
            <w:sz w:val="24"/>
            <w:szCs w:val="24"/>
            <w:u w:val="single"/>
            <w:rtl w:val="0"/>
          </w:rPr>
          <w:t xml:space="preserve">https://www.digitaltransactions.net/the-cost-of-scams-and-fraud-tops-5-for-each-dollar-of-loss/</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Nationwide Fraud Losses Top $10 Billion in 2023, FTC Steps Up, </w:t>
      </w:r>
      <w:hyperlink r:id="rId36">
        <w:r w:rsidDel="00000000" w:rsidR="00000000" w:rsidRPr="00000000">
          <w:rPr>
            <w:rFonts w:ascii="Google Sans" w:cs="Google Sans" w:eastAsia="Google Sans" w:hAnsi="Google Sans"/>
            <w:color w:val="0000ee"/>
            <w:sz w:val="24"/>
            <w:szCs w:val="24"/>
            <w:u w:val="single"/>
            <w:rtl w:val="0"/>
          </w:rPr>
          <w:t xml:space="preserve">https://www.ftc.gov/news-events/news/press-releases/2024/02/nationwide-fraud-losses-top-10-billion-2023-ftc-steps-efforts-protect-public</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Fraud Loss Tops $10 Billion, Aided by Digital Tools, </w:t>
      </w:r>
      <w:hyperlink r:id="rId37">
        <w:r w:rsidDel="00000000" w:rsidR="00000000" w:rsidRPr="00000000">
          <w:rPr>
            <w:rFonts w:ascii="Google Sans" w:cs="Google Sans" w:eastAsia="Google Sans" w:hAnsi="Google Sans"/>
            <w:color w:val="0000ee"/>
            <w:sz w:val="24"/>
            <w:szCs w:val="24"/>
            <w:u w:val="single"/>
            <w:rtl w:val="0"/>
          </w:rPr>
          <w:t xml:space="preserve">https://www.pymnts.com/cybersecurity/fraud-prevention/2024/consumer-fraud-loss-tops-10-billion-aided-by-digital-tools/</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Sentinel Data as a Business Law Tool for Measuring, </w:t>
      </w:r>
      <w:hyperlink r:id="rId38">
        <w:r w:rsidDel="00000000" w:rsidR="00000000" w:rsidRPr="00000000">
          <w:rPr>
            <w:rFonts w:ascii="Google Sans" w:cs="Google Sans" w:eastAsia="Google Sans" w:hAnsi="Google Sans"/>
            <w:color w:val="0000ee"/>
            <w:sz w:val="24"/>
            <w:szCs w:val="24"/>
            <w:u w:val="single"/>
            <w:rtl w:val="0"/>
          </w:rPr>
          <w:t xml:space="preserve">https://www.americanbar.org/groups/business_law/resources/business-law-today/2026-august/consumer-sentinel-data-business-law-tool-measuring-consumer-financial-harm/</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Sentinel Network Data Book 2024, </w:t>
      </w:r>
      <w:hyperlink r:id="rId39">
        <w:r w:rsidDel="00000000" w:rsidR="00000000" w:rsidRPr="00000000">
          <w:rPr>
            <w:rFonts w:ascii="Google Sans" w:cs="Google Sans" w:eastAsia="Google Sans" w:hAnsi="Google Sans"/>
            <w:color w:val="0000ee"/>
            <w:sz w:val="24"/>
            <w:szCs w:val="24"/>
            <w:u w:val="single"/>
            <w:rtl w:val="0"/>
          </w:rPr>
          <w:t xml:space="preserve">https://www.ftc.gov/system/files/ftc_gov/pdf/csn-annual-data-book-2024.pdf</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shows Indian fraud cases tripled in 2024 - BioCatch, </w:t>
      </w:r>
      <w:hyperlink r:id="rId40">
        <w:r w:rsidDel="00000000" w:rsidR="00000000" w:rsidRPr="00000000">
          <w:rPr>
            <w:rFonts w:ascii="Google Sans" w:cs="Google Sans" w:eastAsia="Google Sans" w:hAnsi="Google Sans"/>
            <w:color w:val="0000ee"/>
            <w:sz w:val="24"/>
            <w:szCs w:val="24"/>
            <w:u w:val="single"/>
            <w:rtl w:val="0"/>
          </w:rPr>
          <w:t xml:space="preserve">https://www.biocatch.com/press-release/indian-fraud-cases-tripled-in-2024</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BioCatch Report: Digital Banking Fraud Trends in India, </w:t>
      </w:r>
      <w:hyperlink r:id="rId41">
        <w:r w:rsidDel="00000000" w:rsidR="00000000" w:rsidRPr="00000000">
          <w:rPr>
            <w:rFonts w:ascii="Google Sans" w:cs="Google Sans" w:eastAsia="Google Sans" w:hAnsi="Google Sans"/>
            <w:color w:val="0000ee"/>
            <w:sz w:val="24"/>
            <w:szCs w:val="24"/>
            <w:u w:val="single"/>
            <w:rtl w:val="0"/>
          </w:rPr>
          <w:t xml:space="preserve">https://timesofindia.indiatimes.com/gadgets-news/biocatch-report-digital-banking-fraud-trends-in-india/articleshow/107892542.cms</w:t>
        </w:r>
      </w:hyperlink>
      <w:r w:rsidDel="00000000" w:rsidR="00000000" w:rsidRPr="00000000">
        <w:rPr>
          <w:rtl w:val="0"/>
        </w:rPr>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Report Resources | Arkose Labs, </w:t>
      </w:r>
      <w:hyperlink r:id="rId42">
        <w:r w:rsidDel="00000000" w:rsidR="00000000" w:rsidRPr="00000000">
          <w:rPr>
            <w:rFonts w:ascii="Google Sans" w:cs="Google Sans" w:eastAsia="Google Sans" w:hAnsi="Google Sans"/>
            <w:color w:val="0000ee"/>
            <w:sz w:val="24"/>
            <w:szCs w:val="24"/>
            <w:u w:val="single"/>
            <w:rtl w:val="0"/>
          </w:rPr>
          <w:t xml:space="preserve">https://www.arkoselabs.com/resource-categories/report</w:t>
        </w:r>
      </w:hyperlink>
      <w:r w:rsidDel="00000000" w:rsidR="00000000" w:rsidRPr="00000000">
        <w:rPr>
          <w:rtl w:val="0"/>
        </w:rPr>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Consumers Teaming With Hackers on Payment Fraud Schemes, </w:t>
      </w:r>
      <w:hyperlink r:id="rId43">
        <w:r w:rsidDel="00000000" w:rsidR="00000000" w:rsidRPr="00000000">
          <w:rPr>
            <w:rFonts w:ascii="Google Sans" w:cs="Google Sans" w:eastAsia="Google Sans" w:hAnsi="Google Sans"/>
            <w:color w:val="0000ee"/>
            <w:sz w:val="24"/>
            <w:szCs w:val="24"/>
            <w:u w:val="single"/>
            <w:rtl w:val="0"/>
          </w:rPr>
          <w:t xml:space="preserve">https://www.ecommercetimes.com/story/consumers-teaming-with-hackers-on-payment-fraud-schemes-177474.html</w:t>
        </w:r>
      </w:hyperlink>
      <w:r w:rsidDel="00000000" w:rsidR="00000000" w:rsidRPr="00000000">
        <w:rPr>
          <w:rtl w:val="0"/>
        </w:rPr>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Bot mitigation software: A fraudster's foil in an automated world - Stytch, </w:t>
      </w:r>
      <w:hyperlink r:id="rId44">
        <w:r w:rsidDel="00000000" w:rsidR="00000000" w:rsidRPr="00000000">
          <w:rPr>
            <w:rFonts w:ascii="Google Sans" w:cs="Google Sans" w:eastAsia="Google Sans" w:hAnsi="Google Sans"/>
            <w:color w:val="0000ee"/>
            <w:sz w:val="24"/>
            <w:szCs w:val="24"/>
            <w:u w:val="single"/>
            <w:rtl w:val="0"/>
          </w:rPr>
          <w:t xml:space="preserve">https://stytch.com/blog/bot-mitigation-software/</w:t>
        </w:r>
      </w:hyperlink>
      <w:r w:rsidDel="00000000" w:rsidR="00000000" w:rsidRPr="00000000">
        <w:rPr>
          <w:rtl w:val="0"/>
        </w:rPr>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19 best bot detection software for 2026 - Guideflow Blog, </w:t>
      </w:r>
      <w:hyperlink r:id="rId45">
        <w:r w:rsidDel="00000000" w:rsidR="00000000" w:rsidRPr="00000000">
          <w:rPr>
            <w:rFonts w:ascii="Google Sans" w:cs="Google Sans" w:eastAsia="Google Sans" w:hAnsi="Google Sans"/>
            <w:color w:val="0000ee"/>
            <w:sz w:val="24"/>
            <w:szCs w:val="24"/>
            <w:u w:val="single"/>
            <w:rtl w:val="0"/>
          </w:rPr>
          <w:t xml:space="preserve">https://www.guideflow.com/blog/bot-detection-software</w:t>
        </w:r>
      </w:hyperlink>
      <w:r w:rsidDel="00000000" w:rsidR="00000000" w:rsidRPr="00000000">
        <w:rPr>
          <w:rtl w:val="0"/>
        </w:rPr>
      </w:r>
    </w:p>
    <w:p w:rsidR="00000000" w:rsidDel="00000000" w:rsidP="00000000" w:rsidRDefault="00000000" w:rsidRPr="00000000" w14:paraId="000000E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August 12, 2024 Via Electronic Mail Mr. Moses Kim Director, Office, </w:t>
      </w:r>
      <w:hyperlink r:id="rId46">
        <w:r w:rsidDel="00000000" w:rsidR="00000000" w:rsidRPr="00000000">
          <w:rPr>
            <w:rFonts w:ascii="Google Sans" w:cs="Google Sans" w:eastAsia="Google Sans" w:hAnsi="Google Sans"/>
            <w:color w:val="0000ee"/>
            <w:sz w:val="24"/>
            <w:szCs w:val="24"/>
            <w:u w:val="single"/>
            <w:rtl w:val="0"/>
          </w:rPr>
          <w:t xml:space="preserve">https://bpi.com/wp-content/uploads/2024/08/BPI-Treasury-AI-RFI-Response-2024-4878-9975-4705-v10.pdf</w:t>
        </w:r>
      </w:hyperlink>
      <w:r w:rsidDel="00000000" w:rsidR="00000000" w:rsidRPr="00000000">
        <w:rPr>
          <w:rtl w:val="0"/>
        </w:rPr>
      </w:r>
    </w:p>
    <w:p w:rsidR="00000000" w:rsidDel="00000000" w:rsidP="00000000" w:rsidRDefault="00000000" w:rsidRPr="00000000" w14:paraId="000000E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LexisNexis Risk Solutions True Cost of Fraud Study: SNAP and IES, </w:t>
      </w:r>
      <w:hyperlink r:id="rId47">
        <w:r w:rsidDel="00000000" w:rsidR="00000000" w:rsidRPr="00000000">
          <w:rPr>
            <w:rFonts w:ascii="Google Sans" w:cs="Google Sans" w:eastAsia="Google Sans" w:hAnsi="Google Sans"/>
            <w:color w:val="0000ee"/>
            <w:sz w:val="24"/>
            <w:szCs w:val="24"/>
            <w:u w:val="single"/>
            <w:rtl w:val="0"/>
          </w:rPr>
          <w:t xml:space="preserve">https://risk.lexisnexis.com/about-us/press-room/press-release/20241022-tcof-study-snap</w:t>
        </w:r>
      </w:hyperlink>
      <w:r w:rsidDel="00000000" w:rsidR="00000000" w:rsidRPr="00000000">
        <w:rPr>
          <w:rtl w:val="0"/>
        </w:rPr>
      </w:r>
    </w:p>
    <w:p w:rsidR="00000000" w:rsidDel="00000000" w:rsidP="00000000" w:rsidRDefault="00000000" w:rsidRPr="00000000" w14:paraId="000000E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2024 LexisNexis Risk Solutions True Cost of Fraud for SNAP and, </w:t>
      </w:r>
      <w:hyperlink r:id="rId48">
        <w:r w:rsidDel="00000000" w:rsidR="00000000" w:rsidRPr="00000000">
          <w:rPr>
            <w:rFonts w:ascii="Google Sans" w:cs="Google Sans" w:eastAsia="Google Sans" w:hAnsi="Google Sans"/>
            <w:color w:val="0000ee"/>
            <w:sz w:val="24"/>
            <w:szCs w:val="24"/>
            <w:u w:val="single"/>
            <w:rtl w:val="0"/>
          </w:rPr>
          <w:t xml:space="preserve">https://risk.lexisnexis.com/insights-resources/research/2024-true-cost-of-fraud-for-snap-and-ies-agencies</w:t>
        </w:r>
      </w:hyperlink>
      <w:r w:rsidDel="00000000" w:rsidR="00000000" w:rsidRPr="00000000">
        <w:rPr>
          <w:rtl w:val="0"/>
        </w:rPr>
      </w:r>
    </w:p>
    <w:p w:rsidR="00000000" w:rsidDel="00000000" w:rsidP="00000000" w:rsidRDefault="00000000" w:rsidRPr="00000000" w14:paraId="000000E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Identity-Related Suspicious Activity: 2021 Threats and Trends, </w:t>
      </w:r>
      <w:hyperlink r:id="rId49">
        <w:r w:rsidDel="00000000" w:rsidR="00000000" w:rsidRPr="00000000">
          <w:rPr>
            <w:rFonts w:ascii="Google Sans" w:cs="Google Sans" w:eastAsia="Google Sans" w:hAnsi="Google Sans"/>
            <w:color w:val="0000ee"/>
            <w:sz w:val="24"/>
            <w:szCs w:val="24"/>
            <w:u w:val="single"/>
            <w:rtl w:val="0"/>
          </w:rPr>
          <w:t xml:space="preserve">https://www.fincen.gov/system/files/shared/FTA_Identity_Final508.pdf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iocatch.com/press-release/indian-fraud-cases-tripled-in-2024" TargetMode="External"/><Relationship Id="rId42" Type="http://schemas.openxmlformats.org/officeDocument/2006/relationships/hyperlink" Target="https://www.arkoselabs.com/resource-categories/report" TargetMode="External"/><Relationship Id="rId41" Type="http://schemas.openxmlformats.org/officeDocument/2006/relationships/hyperlink" Target="https://timesofindia.indiatimes.com/gadgets-news/biocatch-report-digital-banking-fraud-trends-in-india/articleshow/107892542.cms" TargetMode="External"/><Relationship Id="rId44" Type="http://schemas.openxmlformats.org/officeDocument/2006/relationships/hyperlink" Target="https://stytch.com/blog/bot-mitigation-software/" TargetMode="External"/><Relationship Id="rId43" Type="http://schemas.openxmlformats.org/officeDocument/2006/relationships/hyperlink" Target="https://www.ecommercetimes.com/story/consumers-teaming-with-hackers-on-payment-fraud-schemes-177474.html" TargetMode="External"/><Relationship Id="rId46" Type="http://schemas.openxmlformats.org/officeDocument/2006/relationships/hyperlink" Target="https://bpi.com/wp-content/uploads/2024/08/BPI-Treasury-AI-RFI-Response-2024-4878-9975-4705-v10.pdf" TargetMode="External"/><Relationship Id="rId45" Type="http://schemas.openxmlformats.org/officeDocument/2006/relationships/hyperlink" Target="https://www.guideflow.com/blog/bot-detection-soft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risk.lexisnexis.com/insights-resources/research/2024-true-cost-of-fraud-for-snap-and-ies-agencies" TargetMode="External"/><Relationship Id="rId47" Type="http://schemas.openxmlformats.org/officeDocument/2006/relationships/hyperlink" Target="https://risk.lexisnexis.com/about-us/press-room/press-release/20241022-tcof-study-snap" TargetMode="External"/><Relationship Id="rId49" Type="http://schemas.openxmlformats.org/officeDocument/2006/relationships/hyperlink" Target="https://www.fincen.gov/system/files/shared/FTA_Identity_Final508.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 Id="rId31" Type="http://schemas.openxmlformats.org/officeDocument/2006/relationships/hyperlink" Target="https://www.biocatch.com/blog/money-mules-in-the-midmarket-a-growing-threat" TargetMode="External"/><Relationship Id="rId30" Type="http://schemas.openxmlformats.org/officeDocument/2006/relationships/hyperlink" Target="https://www.biocatch.com/blog/scams-in-the-u.s.-and-canada" TargetMode="External"/><Relationship Id="rId33" Type="http://schemas.openxmlformats.org/officeDocument/2006/relationships/hyperlink" Target="https://kpmg.com/us/en/articles/2025/fraud-identity-theft-other-scams-reg-alert.html" TargetMode="External"/><Relationship Id="rId32" Type="http://schemas.openxmlformats.org/officeDocument/2006/relationships/hyperlink" Target="https://risk.lexisnexis.com/global/en/about-us/press-room/press-release/20240424-tcof-financial-services-lending" TargetMode="External"/><Relationship Id="rId35" Type="http://schemas.openxmlformats.org/officeDocument/2006/relationships/hyperlink" Target="https://www.digitaltransactions.net/the-cost-of-scams-and-fraud-tops-5-for-each-dollar-of-loss/" TargetMode="External"/><Relationship Id="rId34" Type="http://schemas.openxmlformats.org/officeDocument/2006/relationships/hyperlink" Target="https://cdn.prod.website-files.com/6a08a39dffcfb012b1c4a767/6a21bc628415b4cc5c114eb1_Arkose-Labs-Threat-Intelligence-Media-Industry-Q3-2025-Infobrief.pdf" TargetMode="External"/><Relationship Id="rId37" Type="http://schemas.openxmlformats.org/officeDocument/2006/relationships/hyperlink" Target="https://www.pymnts.com/cybersecurity/fraud-prevention/2024/consumer-fraud-loss-tops-10-billion-aided-by-digital-tools/" TargetMode="External"/><Relationship Id="rId36" Type="http://schemas.openxmlformats.org/officeDocument/2006/relationships/hyperlink" Target="https://www.ftc.gov/news-events/news/press-releases/2024/02/nationwide-fraud-losses-top-10-billion-2023-ftc-steps-efforts-protect-public" TargetMode="External"/><Relationship Id="rId39" Type="http://schemas.openxmlformats.org/officeDocument/2006/relationships/hyperlink" Target="https://www.ftc.gov/system/files/ftc_gov/pdf/csn-annual-data-book-2024.pdf" TargetMode="External"/><Relationship Id="rId38" Type="http://schemas.openxmlformats.org/officeDocument/2006/relationships/hyperlink" Target="https://www.americanbar.org/groups/business_law/resources/business-law-today/2026-august/consumer-sentinel-data-business-law-tool-measuring-consumer-financial-harm/" TargetMode="External"/><Relationship Id="rId20" Type="http://schemas.openxmlformats.org/officeDocument/2006/relationships/hyperlink" Target="https://tianweiz07.github.io/Papers/25-ccs-1.pdf" TargetMode="External"/><Relationship Id="rId22" Type="http://schemas.openxmlformats.org/officeDocument/2006/relationships/hyperlink" Target="https://www.group-ib.com/products/fraud-protection/" TargetMode="External"/><Relationship Id="rId21" Type="http://schemas.openxmlformats.org/officeDocument/2006/relationships/hyperlink" Target="https://www.usenix.org/system/files/usenixsecurity24-teoh.pdf" TargetMode="External"/><Relationship Id="rId24" Type="http://schemas.openxmlformats.org/officeDocument/2006/relationships/hyperlink" Target="https://www.usenix.org/conference/usenixsecurity25/presentation/teoh" TargetMode="External"/><Relationship Id="rId23" Type="http://schemas.openxmlformats.org/officeDocument/2006/relationships/hyperlink" Target="https://dolphin-anty.com/blog/en/top-10-antidetect-browsers-for-youtube-in-2026-protect-scale-your-channels/" TargetMode="External"/><Relationship Id="rId26" Type="http://schemas.openxmlformats.org/officeDocument/2006/relationships/hyperlink" Target="https://www.usenix.org/conference/usenixsecurity26/technical-sessions" TargetMode="External"/><Relationship Id="rId25" Type="http://schemas.openxmlformats.org/officeDocument/2006/relationships/hyperlink" Target="https://arxiv.org/abs/2510.06067" TargetMode="External"/><Relationship Id="rId28" Type="http://schemas.openxmlformats.org/officeDocument/2006/relationships/hyperlink" Target="https://risk.lexisnexis.com/products/lexisnexis-fraud-intelligence" TargetMode="External"/><Relationship Id="rId27" Type="http://schemas.openxmlformats.org/officeDocument/2006/relationships/hyperlink" Target="https://www.fincen.gov/system/files/shared/FinCEN-Alert-DeepFakes-Alert508FINAL.pdf" TargetMode="External"/><Relationship Id="rId29" Type="http://schemas.openxmlformats.org/officeDocument/2006/relationships/hyperlink" Target="https://www.biocatch.com/resources/white-paper/digital-banking-fraud-trends-nam-2024" TargetMode="External"/><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https://plisio.net/cybersecurity/antidetect-browsers" TargetMode="External"/><Relationship Id="rId12" Type="http://schemas.openxmlformats.org/officeDocument/2006/relationships/hyperlink" Target="https://www.usenix.org/system/files/usenixsecurity25-teoh.pdf" TargetMode="External"/><Relationship Id="rId15" Type="http://schemas.openxmlformats.org/officeDocument/2006/relationships/hyperlink" Target="https://risk.lexisnexis.com/insights-resources/research/us-ca-true-cost-of-fraud-study" TargetMode="External"/><Relationship Id="rId14" Type="http://schemas.openxmlformats.org/officeDocument/2006/relationships/hyperlink" Target="https://risk.lexisnexis.com/global/en/about-us/press-room/press-release/20250910-fraud-multiplier" TargetMode="External"/><Relationship Id="rId17" Type="http://schemas.openxmlformats.org/officeDocument/2006/relationships/hyperlink" Target="https://www.occ.gov/news-issuances/speeches/2024/pub-speech-2024-61.pdf" TargetMode="External"/><Relationship Id="rId16" Type="http://schemas.openxmlformats.org/officeDocument/2006/relationships/hyperlink" Target="https://www.federalregister.gov/documents/2024/07/02/2024-14533/fair-lending-report-of-the-consumer-financial-protection-bureau" TargetMode="External"/><Relationship Id="rId19" Type="http://schemas.openxmlformats.org/officeDocument/2006/relationships/hyperlink" Target="https://docs.incogniton.com/glossary" TargetMode="External"/><Relationship Id="rId18" Type="http://schemas.openxmlformats.org/officeDocument/2006/relationships/hyperlink" Target="https://www.biocatch.com/press-release/biocatch-unveils-connect-portfol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