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Architectural Review &amp; Cyber-Range Live Defense Dossier: Project SHADOWGRAM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Demonstration and the Cinematic Defense Interface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Concept Evaluation and Aesthetic Critique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presentation of Project SHADOWGRAM centers on a real-time 3D particle universe constructed in Three.js, designed to translate relational behavioral topologies into immediate visual evidence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core metaphor—a dark liquid-glass cyber aesthetic contrasting an isolated, tranquil green human node against a clustered red bot swarm—is conceptually sound, standard implementations of WebGL force-directed graphs suffer from distinct perceptual and technical failure modes that can undermine audience engagement within the opening 15 seconds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aesthetic vulnerability in real-time security dashboards is visual incoherence caused by unweighted spatial convergence, uncontrolled additive bloom saturation, and unoptimized draw calls. When twenty or more automated browser agents execute concurrent Document Object Model (DOM) navigation sequences, a standard Three.js spring-embedded force layout collapses into an undifferentiated mass of overlapping geometric spheres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the ambient glare of convention hall overhead lighting, fine connection lines become washed out, while excessive bloom transforms the cluster into an unreadable solid blob. Furthermore, instantiating discrete THREE.Mesh objects with independent buffer geometries and materials introduces severe CPU-to-GPU draw-call bottlenecks, degrading the 60 frames-per-second (FPS) rendering requirement on mid-tier mobile hardware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deliver maximum visual impact and immediate cognitive clarity to hackathon evaluators, the rendering pipeline must adopt an architectural paradigm drawn from modern creative technology: instanced geometry rendering, multi-stage selective post-processing, mathematically controlled camera paths, and custom GLSL (OpenGL Shading Language) shaders for dynamic edge energy propagation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WebGL and Three.js Shader Architecture for Instant Impact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visualization framework must ensure structural clarity by rendering the entire node ecosystem through a single THREE.InstancedMesh alongside batched line segments, controlling visual dynamics via custom vertex and fragment shaders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Selective post-processing is critical. Passing the entire scene through an unconstrained bloom pass washes out background telemetry and UI overlays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system must employ a selective bloom pipeline using Three.js EffectComposer, RenderPass, and an optimized UnrealBloomPass operating on half-resolution framebuffers (width / 2, height / 2), drastically reducing fragment fill-rate overhead on mobile GPUs such as the NVIDIA GeForce RTX 2050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High-Performance Half-Resolution Selective Bloom Configuration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THREE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'three'</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EffectComposer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'three/examples/jsm/postprocessing/EffectComposer.js'</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RenderPass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'three/examples/jsm/postprocessing/RenderPass.js'</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UnrealBloomPass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'three/examples/jsm/postprocessing/UnrealBloomPass.js'</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OutputPass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'three/examples/jsm/postprocessing/OutputPass.js'</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renderScene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RenderPass(scene, camera);</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bloomPass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UnrealBloomPass(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THREE.Vector2(</w:t>
      </w:r>
      <w:r w:rsidDel="00000000" w:rsidR="00000000" w:rsidRPr="00000000">
        <w:rPr>
          <w:rFonts w:ascii="Google Sans" w:cs="Google Sans" w:eastAsia="Google Sans" w:hAnsi="Google Sans"/>
          <w:i w:val="0"/>
          <w:iCs w:val="0"/>
          <w:color w:val="ff5a59"/>
          <w:sz w:val="20"/>
          <w:szCs w:val="20"/>
          <w:shd w:fill="141414" w:val="clear"/>
          <w:rtl w:val="0"/>
        </w:rPr>
        <w:t xml:space="preserve">window</w:t>
      </w:r>
      <w:r w:rsidDel="00000000" w:rsidR="00000000" w:rsidRPr="00000000">
        <w:rPr>
          <w:rFonts w:ascii="Google Sans" w:cs="Google Sans" w:eastAsia="Google Sans" w:hAnsi="Google Sans"/>
          <w:color w:val="1f1f1f"/>
          <w:shd w:fill="141414" w:val="clear"/>
          <w:rtl w:val="0"/>
        </w:rPr>
        <w:t xml:space="preserve">.innerWidth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window</w:t>
      </w:r>
      <w:r w:rsidDel="00000000" w:rsidR="00000000" w:rsidRPr="00000000">
        <w:rPr>
          <w:rFonts w:ascii="Google Sans" w:cs="Google Sans" w:eastAsia="Google Sans" w:hAnsi="Google Sans"/>
          <w:color w:val="1f1f1f"/>
          <w:shd w:fill="141414" w:val="clear"/>
          <w:rtl w:val="0"/>
        </w:rPr>
        <w:t xml:space="preserve">.innerHeight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Bloom Strength: High-intensity luminescence for laser edges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0.35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Bloom Radius: Tight dispersion to prevent cluster washout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0.15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Bloom Threshold: Restricts bloom exclusively to high-luminance nodes</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composer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EffectComposer(renderer);</w:t>
        <w:br w:type="textWrapping"/>
        <w:t xml:space="preserve">composer.addPass(renderScene);</w:t>
        <w:br w:type="textWrapping"/>
        <w:t xml:space="preserve">composer.addPass(bloomPass);</w:t>
        <w:br w:type="textWrapping"/>
        <w:t xml:space="preserve">composer.addPass(</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OutputPass());</w:t>
        <w:br w:type="textWrapping"/>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transform static graph connections into active threat channels, relational edges must not be rendered as primitive static wireframes. Instead, edges connecting nodes with high composite similarity (</w:t>
      </w:r>
      <w:r w:rsidDel="00000000" w:rsidR="00000000" w:rsidRPr="00000000">
        <w:rPr>
          <w:rFonts w:ascii="Google Sans" w:cs="Google Sans" w:eastAsia="Google Sans" w:hAnsi="Google Sans"/>
          <w:color w:val="1f1f1f"/>
        </w:rPr>
        <w:drawing>
          <wp:inline distB="19050" distT="19050" distL="19050" distR="19050">
            <wp:extent cx="1058542" cy="244279"/>
            <wp:effectExtent b="0" l="0" r="0" t="0"/>
            <wp:docPr id="4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1058542" cy="244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should be rendered using custom line shaders that simulate high-voltage energy arcing between coordinated agents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OpenGL Shading Language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Fragment Shader: Relational Edge Laser Arcing (laser_edge.frag)</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uniform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u_time;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uniform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vec3</w:t>
      </w:r>
      <w:r w:rsidDel="00000000" w:rsidR="00000000" w:rsidRPr="00000000">
        <w:rPr>
          <w:rFonts w:ascii="Google Sans" w:cs="Google Sans" w:eastAsia="Google Sans" w:hAnsi="Google Sans"/>
          <w:color w:val="1f1f1f"/>
          <w:shd w:fill="141414" w:val="clear"/>
          <w:rtl w:val="0"/>
        </w:rPr>
        <w:t xml:space="preserve"> u_color;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varying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 vUv;</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 main()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Generate high-frequency energy pulse traveling along the edge coordinate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pulse = </w:t>
      </w:r>
      <w:r w:rsidDel="00000000" w:rsidR="00000000" w:rsidRPr="00000000">
        <w:rPr>
          <w:rFonts w:ascii="Google Sans" w:cs="Google Sans" w:eastAsia="Google Sans" w:hAnsi="Google Sans"/>
          <w:i w:val="0"/>
          <w:iCs w:val="0"/>
          <w:color w:val="ff5a59"/>
          <w:sz w:val="20"/>
          <w:szCs w:val="20"/>
          <w:shd w:fill="141414" w:val="clear"/>
          <w:rtl w:val="0"/>
        </w:rPr>
        <w:t xml:space="preserve">sin</w:t>
      </w:r>
      <w:r w:rsidDel="00000000" w:rsidR="00000000" w:rsidRPr="00000000">
        <w:rPr>
          <w:rFonts w:ascii="Google Sans" w:cs="Google Sans" w:eastAsia="Google Sans" w:hAnsi="Google Sans"/>
          <w:color w:val="1f1f1f"/>
          <w:shd w:fill="141414" w:val="clear"/>
          <w:rtl w:val="0"/>
        </w:rPr>
        <w:t xml:space="preserve">((vUv.x * </w:t>
      </w:r>
      <w:r w:rsidDel="00000000" w:rsidR="00000000" w:rsidRPr="00000000">
        <w:rPr>
          <w:rFonts w:ascii="Google Sans" w:cs="Google Sans" w:eastAsia="Google Sans" w:hAnsi="Google Sans"/>
          <w:i w:val="0"/>
          <w:iCs w:val="0"/>
          <w:color w:val="ff96da"/>
          <w:sz w:val="20"/>
          <w:szCs w:val="20"/>
          <w:shd w:fill="141414" w:val="clear"/>
          <w:rtl w:val="0"/>
        </w:rPr>
        <w:t xml:space="preserve">24.0</w:t>
      </w:r>
      <w:r w:rsidDel="00000000" w:rsidR="00000000" w:rsidRPr="00000000">
        <w:rPr>
          <w:rFonts w:ascii="Google Sans" w:cs="Google Sans" w:eastAsia="Google Sans" w:hAnsi="Google Sans"/>
          <w:color w:val="1f1f1f"/>
          <w:shd w:fill="141414" w:val="clear"/>
          <w:rtl w:val="0"/>
        </w:rPr>
        <w:t xml:space="preserve">) - (u_time * </w:t>
      </w:r>
      <w:r w:rsidDel="00000000" w:rsidR="00000000" w:rsidRPr="00000000">
        <w:rPr>
          <w:rFonts w:ascii="Google Sans" w:cs="Google Sans" w:eastAsia="Google Sans" w:hAnsi="Google Sans"/>
          <w:i w:val="0"/>
          <w:iCs w:val="0"/>
          <w:color w:val="ff96da"/>
          <w:sz w:val="20"/>
          <w:szCs w:val="20"/>
          <w:shd w:fill="141414" w:val="clear"/>
          <w:rtl w:val="0"/>
        </w:rPr>
        <w:t xml:space="preserve">8.0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intensity = </w:t>
      </w:r>
      <w:r w:rsidDel="00000000" w:rsidR="00000000" w:rsidRPr="00000000">
        <w:rPr>
          <w:rFonts w:ascii="Google Sans" w:cs="Google Sans" w:eastAsia="Google Sans" w:hAnsi="Google Sans"/>
          <w:i w:val="0"/>
          <w:iCs w:val="0"/>
          <w:color w:val="ff5a59"/>
          <w:sz w:val="20"/>
          <w:szCs w:val="20"/>
          <w:shd w:fill="141414" w:val="clear"/>
          <w:rtl w:val="0"/>
        </w:rPr>
        <w:t xml:space="preserve">clamp</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pow</w:t>
      </w:r>
      <w:r w:rsidDel="00000000" w:rsidR="00000000" w:rsidRPr="00000000">
        <w:rPr>
          <w:rFonts w:ascii="Google Sans" w:cs="Google Sans" w:eastAsia="Google Sans" w:hAnsi="Google Sans"/>
          <w:color w:val="1f1f1f"/>
          <w:shd w:fill="141414" w:val="clear"/>
          <w:rtl w:val="0"/>
        </w:rPr>
        <w:t xml:space="preserve">(pulse, </w:t>
      </w:r>
      <w:r w:rsidDel="00000000" w:rsidR="00000000" w:rsidRPr="00000000">
        <w:rPr>
          <w:rFonts w:ascii="Google Sans" w:cs="Google Sans" w:eastAsia="Google Sans" w:hAnsi="Google Sans"/>
          <w:i w:val="0"/>
          <w:iCs w:val="0"/>
          <w:color w:val="ff96da"/>
          <w:sz w:val="20"/>
          <w:szCs w:val="20"/>
          <w:shd w:fill="141414" w:val="clear"/>
          <w:rtl w:val="0"/>
        </w:rPr>
        <w:t xml:space="preserve">4.0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2.5</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Core high-energy laser beam falloff</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beamCore = </w:t>
      </w:r>
      <w:r w:rsidDel="00000000" w:rsidR="00000000" w:rsidRPr="00000000">
        <w:rPr>
          <w:rFonts w:ascii="Google Sans" w:cs="Google Sans" w:eastAsia="Google Sans" w:hAnsi="Google Sans"/>
          <w:i w:val="0"/>
          <w:iCs w:val="0"/>
          <w:color w:val="ff5a59"/>
          <w:sz w:val="20"/>
          <w:szCs w:val="20"/>
          <w:shd w:fill="141414" w:val="clear"/>
          <w:rtl w:val="0"/>
        </w:rPr>
        <w:t xml:space="preserve">smoothstep</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0.45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abs</w:t>
      </w:r>
      <w:r w:rsidDel="00000000" w:rsidR="00000000" w:rsidRPr="00000000">
        <w:rPr>
          <w:rFonts w:ascii="Google Sans" w:cs="Google Sans" w:eastAsia="Google Sans" w:hAnsi="Google Sans"/>
          <w:color w:val="1f1f1f"/>
          <w:shd w:fill="141414" w:val="clear"/>
          <w:rtl w:val="0"/>
        </w:rPr>
        <w:t xml:space="preserve">(vUv.y - </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vec3</w:t>
      </w:r>
      <w:r w:rsidDel="00000000" w:rsidR="00000000" w:rsidRPr="00000000">
        <w:rPr>
          <w:rFonts w:ascii="Google Sans" w:cs="Google Sans" w:eastAsia="Google Sans" w:hAnsi="Google Sans"/>
          <w:color w:val="1f1f1f"/>
          <w:shd w:fill="141414" w:val="clear"/>
          <w:rtl w:val="0"/>
        </w:rPr>
        <w:t xml:space="preserve"> finalColor = u_color * intensity * (beamCore + </w:t>
      </w:r>
      <w:r w:rsidDel="00000000" w:rsidR="00000000" w:rsidRPr="00000000">
        <w:rPr>
          <w:rFonts w:ascii="Google Sans" w:cs="Google Sans" w:eastAsia="Google Sans" w:hAnsi="Google Sans"/>
          <w:i w:val="0"/>
          <w:iCs w:val="0"/>
          <w:color w:val="ff96da"/>
          <w:sz w:val="20"/>
          <w:szCs w:val="20"/>
          <w:shd w:fill="141414" w:val="clear"/>
          <w:rtl w:val="0"/>
        </w:rPr>
        <w:t xml:space="preserve">0.3</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gl_FragColor</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vec4</w:t>
      </w:r>
      <w:r w:rsidDel="00000000" w:rsidR="00000000" w:rsidRPr="00000000">
        <w:rPr>
          <w:rFonts w:ascii="Google Sans" w:cs="Google Sans" w:eastAsia="Google Sans" w:hAnsi="Google Sans"/>
          <w:color w:val="1f1f1f"/>
          <w:shd w:fill="141414" w:val="clear"/>
          <w:rtl w:val="0"/>
        </w:rPr>
        <w:t xml:space="preserve">(finalColor, beamCore * </w:t>
      </w:r>
      <w:r w:rsidDel="00000000" w:rsidR="00000000" w:rsidRPr="00000000">
        <w:rPr>
          <w:rFonts w:ascii="Google Sans" w:cs="Google Sans" w:eastAsia="Google Sans" w:hAnsi="Google Sans"/>
          <w:i w:val="0"/>
          <w:iCs w:val="0"/>
          <w:color w:val="ff96da"/>
          <w:sz w:val="20"/>
          <w:szCs w:val="20"/>
          <w:shd w:fill="141414" w:val="clear"/>
          <w:rtl w:val="0"/>
        </w:rPr>
        <w:t xml:space="preserve">0.9</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Camera choreography during the initial 15 seconds must be cinematic and automated. The camera must begin in a wide, sweeping orbital drift along a Catmull-Rom spline curve above the coordinate plane (</w:t>
      </w:r>
      <w:r w:rsidDel="00000000" w:rsidR="00000000" w:rsidRPr="00000000">
        <w:rPr>
          <w:rFonts w:ascii="Google Sans" w:cs="Google Sans" w:eastAsia="Google Sans" w:hAnsi="Google Sans"/>
          <w:color w:val="1f1f1f"/>
        </w:rPr>
        <w:drawing>
          <wp:inline distB="19050" distT="19050" distL="19050" distR="19050">
            <wp:extent cx="1663227" cy="243399"/>
            <wp:effectExtent b="0" l="0" r="0" t="0"/>
            <wp:docPr id="51"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663227" cy="24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establishing the tranquil, star-like dispersion of genuine human users. The moment the red-team swarm initiates execution, the camera executes an accelerated programmatic dive (interpolated via exponential easing) toward the coordinate centroid of the emerging bot community (</w:t>
      </w:r>
      <w:r w:rsidDel="00000000" w:rsidR="00000000" w:rsidRPr="00000000">
        <w:rPr>
          <w:rFonts w:ascii="Google Sans" w:cs="Google Sans" w:eastAsia="Google Sans" w:hAnsi="Google Sans"/>
          <w:color w:val="1f1f1f"/>
        </w:rPr>
        <w:drawing>
          <wp:inline distB="19050" distT="19050" distL="19050" distR="19050">
            <wp:extent cx="764064" cy="244500"/>
            <wp:effectExtent b="0" l="0" r="0" t="0"/>
            <wp:docPr id="5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64064" cy="244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framing the tightly coupled red cluster in sharp relief against the dark void while locking the isolated judge node in the high-contrast peripheral foreground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Conventional Hackathon Implementation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Cyber-Range Architecture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&amp; Visual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Node Rendering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Individual THREE.SphereGeometry meshes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THREE.InstancedMesh with dynamic transform matrices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Reduces draw calls from </w:t>
            </w:r>
            <w:r w:rsidDel="00000000" w:rsidR="00000000" w:rsidRPr="00000000">
              <w:rPr>
                <w:rFonts w:ascii="Google Sans" w:cs="Google Sans" w:eastAsia="Google Sans" w:hAnsi="Google Sans"/>
                <w:color w:val="1f1f1f"/>
              </w:rPr>
              <w:drawing>
                <wp:inline distB="19050" distT="19050" distL="19050" distR="19050">
                  <wp:extent cx="157480" cy="220472"/>
                  <wp:effectExtent b="0" l="0" r="0" t="0"/>
                  <wp:docPr id="53"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157480" cy="2204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1; maintains stable 60 FPS under high node density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Edge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Unlit THREE.Line segments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GLSL animated line filament shaders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Renders animated electrical charge transfer, proving real-time correlation visually.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Post-Processing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Full-canvas UnrealBloomPass at native resolution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Half-resolution selective bloom pass (Vector2(w/2, h/2))</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fragment shader fill-rate saturation; prevents cluster blowout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Containment 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Sudden deletion or static recoloring of nodes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Expanding inverted Fresnel shockwave and electrostatic cage.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Produces visceral theatrical drama confirming systemic neutralization.</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Explanatory Forensic Modal and Blast-Radius Quarantine Animation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threat identification to remediation represents the climax of the live demonstration. When an analyst selects a clustered bot node, the "Why Card" must not open as an unstyled web alert. Instead, it must materialize through a hardware-accelerated CSS and WebGL synchronization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selected node in the 3D viewport expands into an orbital targeting reticle, projecting four animated holographic callout lines from 3D space directly to the 2D DOM screen coordinates of the modal. The modal itself must feature a frosted obsidian glass surface (background: rgba(10, 14, 23, 0.75), backdrop-filter: blur(20px), border: 1px solid rgba(0, 255, 170, 0.25)), framed by an animated perimeter glow driven by a conic gradient. The forensic evidence metrics must render dynamically: numeric counters for arrival delta (</w:t>
      </w:r>
      <w:r w:rsidDel="00000000" w:rsidR="00000000" w:rsidRPr="00000000">
        <w:rPr>
          <w:rFonts w:ascii="Google Sans" w:cs="Google Sans" w:eastAsia="Google Sans" w:hAnsi="Google Sans"/>
          <w:color w:val="1f1f1f"/>
        </w:rPr>
        <w:drawing>
          <wp:inline distB="19050" distT="19050" distL="19050" distR="19050">
            <wp:extent cx="980123" cy="245031"/>
            <wp:effectExtent b="0" l="0" r="0" t="0"/>
            <wp:docPr id="52"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980123" cy="2450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Longest Common Subsequence (</w:t>
      </w:r>
      <w:r w:rsidDel="00000000" w:rsidR="00000000" w:rsidRPr="00000000">
        <w:rPr>
          <w:rFonts w:ascii="Google Sans" w:cs="Google Sans" w:eastAsia="Google Sans" w:hAnsi="Google Sans"/>
          <w:color w:val="1f1f1f"/>
        </w:rPr>
        <w:drawing>
          <wp:inline distB="19050" distT="19050" distL="19050" distR="19050">
            <wp:extent cx="358933" cy="235871"/>
            <wp:effectExtent b="0" l="0" r="0" t="0"/>
            <wp:docPr id="57"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358933" cy="2358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dense semantic cosine similarity (</w:t>
      </w:r>
      <w:r w:rsidDel="00000000" w:rsidR="00000000" w:rsidRPr="00000000">
        <w:rPr>
          <w:rFonts w:ascii="Google Sans" w:cs="Google Sans" w:eastAsia="Google Sans" w:hAnsi="Google Sans"/>
          <w:color w:val="1f1f1f"/>
        </w:rPr>
        <w:drawing>
          <wp:inline distB="19050" distT="19050" distL="19050" distR="19050">
            <wp:extent cx="348139" cy="235506"/>
            <wp:effectExtent b="0" l="0" r="0" t="0"/>
            <wp:docPr id="56"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348139" cy="235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count upward within 300 milliseconds, accompanied by miniature SVG sparklines demonstrating the zero-variance flatline of the bots' kinetic jerk derivatives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of the [ 1-Click Blast-Radius Quarantine ] action must command the visual 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Upon clicking the armed trigger, the interface executes a structured four-stage visual cascade: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Three.js camera first experiences a high-frequency, dampening screen-shake impulse (</w:t>
      </w:r>
      <w:r w:rsidDel="00000000" w:rsidR="00000000" w:rsidRPr="00000000">
        <w:rPr>
          <w:rFonts w:ascii="Google Sans" w:cs="Google Sans" w:eastAsia="Google Sans" w:hAnsi="Google Sans"/>
          <w:color w:val="1f1f1f"/>
        </w:rPr>
        <w:drawing>
          <wp:inline distB="19050" distT="19050" distL="19050" distR="19050">
            <wp:extent cx="876935" cy="234529"/>
            <wp:effectExtent b="0" l="0" r="0" t="0"/>
            <wp:docPr id="62"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876935" cy="234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 the </w:t>
      </w:r>
      <w:r w:rsidDel="00000000" w:rsidR="00000000" w:rsidRPr="00000000">
        <w:rPr>
          <w:rFonts w:ascii="Google Sans" w:cs="Google Sans" w:eastAsia="Google Sans" w:hAnsi="Google Sans"/>
          <w:color w:val="1f1f1f"/>
        </w:rPr>
        <w:drawing>
          <wp:inline distB="19050" distT="19050" distL="19050" distR="19050">
            <wp:extent cx="432594" cy="247197"/>
            <wp:effectExtent b="0" l="0" r="0" t="0"/>
            <wp:docPr id="60"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432594" cy="2471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axes over 250 milliseconds). Immediately following this impulse, a spherical containment barrier utilizing an inverted Fresnel shader spawns at the cluster centroid and rapidly expands outward to encapsulate every node belonging to the Louvain partition (</w:t>
      </w:r>
      <w:r w:rsidDel="00000000" w:rsidR="00000000" w:rsidRPr="00000000">
        <w:rPr>
          <w:rFonts w:ascii="Google Sans" w:cs="Google Sans" w:eastAsia="Google Sans" w:hAnsi="Google Sans"/>
          <w:color w:val="1f1f1f"/>
        </w:rPr>
        <w:drawing>
          <wp:inline distB="19050" distT="19050" distL="19050" distR="19050">
            <wp:extent cx="764064" cy="244500"/>
            <wp:effectExtent b="0" l="0" r="0" t="0"/>
            <wp:docPr id="6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64064" cy="244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shockwave reaches its perimeter, the glowing red laser edges fracture into falling, fading spark particles via a compute-point shader, while the bot nodes instantly transition from high-intensity red bloom to a deactivated, desaturated slate-gray, encased in an electrostatic wireframe cage. Finally, the primary status HUD snaps from a pulsing red ACTIVE_COORDINATED_EXPLOITATION banner to a stable cyan SYNDICATE_CONTAINED_ZERO_COLLATERAL_IMPACT verification state.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 Micro-Interactions and Procedural Web Audio Design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enterprise systems convey operational authority through sensory feedback. To achieve this standard without external media dependencies, the entire auditory landscape can be synthesized procedurally using the native Web Audio API (window.AudioContext), eliminating external asset requests, CORS failures, or audio buffering latencies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Procedural Web Audio Engine for Real-Time Security Telemetry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CyberAudioEngine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constructor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init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window</w:t>
      </w:r>
      <w:r w:rsidDel="00000000" w:rsidR="00000000" w:rsidRPr="00000000">
        <w:rPr>
          <w:rFonts w:ascii="Google Sans" w:cs="Google Sans" w:eastAsia="Google Sans" w:hAnsi="Google Sans"/>
          <w:color w:val="1f1f1f"/>
          <w:shd w:fill="141414" w:val="clear"/>
          <w:rtl w:val="0"/>
        </w:rPr>
        <w:t xml:space="preserve">.AudioContext || </w:t>
      </w:r>
      <w:r w:rsidDel="00000000" w:rsidR="00000000" w:rsidRPr="00000000">
        <w:rPr>
          <w:rFonts w:ascii="Google Sans" w:cs="Google Sans" w:eastAsia="Google Sans" w:hAnsi="Google Sans"/>
          <w:i w:val="0"/>
          <w:iCs w:val="0"/>
          <w:color w:val="ff5a59"/>
          <w:sz w:val="20"/>
          <w:szCs w:val="20"/>
          <w:shd w:fill="141414" w:val="clear"/>
          <w:rtl w:val="0"/>
        </w:rPr>
        <w:t xml:space="preserve">window</w:t>
      </w:r>
      <w:r w:rsidDel="00000000" w:rsidR="00000000" w:rsidRPr="00000000">
        <w:rPr>
          <w:rFonts w:ascii="Google Sans" w:cs="Google Sans" w:eastAsia="Google Sans" w:hAnsi="Google Sans"/>
          <w:color w:val="1f1f1f"/>
          <w:shd w:fill="141414" w:val="clear"/>
          <w:rtl w:val="0"/>
        </w:rPr>
        <w:t xml:space="preserve">.webkitAudioContext)();</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Low-frequency radar chirp for live incoming telemetry packets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playRadarSweep</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.init();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osc =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.ctx.createOscillator();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gain =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.ctx.createGain();</w:t>
        <w:br w:type="textWrapping"/>
        <w:t xml:space="preserve">        osc.type = </w:t>
      </w:r>
      <w:r w:rsidDel="00000000" w:rsidR="00000000" w:rsidRPr="00000000">
        <w:rPr>
          <w:rFonts w:ascii="Google Sans" w:cs="Google Sans" w:eastAsia="Google Sans" w:hAnsi="Google Sans"/>
          <w:i w:val="0"/>
          <w:iCs w:val="0"/>
          <w:color w:val="60d673"/>
          <w:sz w:val="20"/>
          <w:szCs w:val="20"/>
          <w:shd w:fill="141414" w:val="clear"/>
          <w:rtl w:val="0"/>
        </w:rPr>
        <w:t xml:space="preserve">'sine'</w:t>
      </w:r>
      <w:r w:rsidDel="00000000" w:rsidR="00000000" w:rsidRPr="00000000">
        <w:rPr>
          <w:rFonts w:ascii="Google Sans" w:cs="Google Sans" w:eastAsia="Google Sans" w:hAnsi="Google Sans"/>
          <w:color w:val="1f1f1f"/>
          <w:shd w:fill="141414" w:val="clear"/>
          <w:rtl w:val="0"/>
        </w:rPr>
        <w:t xml:space="preserve">;</w:t>
        <w:br w:type="textWrapping"/>
        <w:t xml:space="preserve">        osc.frequency.setValueAtTime(</w:t>
      </w:r>
      <w:r w:rsidDel="00000000" w:rsidR="00000000" w:rsidRPr="00000000">
        <w:rPr>
          <w:rFonts w:ascii="Google Sans" w:cs="Google Sans" w:eastAsia="Google Sans" w:hAnsi="Google Sans"/>
          <w:i w:val="0"/>
          <w:iCs w:val="0"/>
          <w:color w:val="ff96da"/>
          <w:sz w:val="20"/>
          <w:szCs w:val="20"/>
          <w:shd w:fill="141414" w:val="clear"/>
          <w:rtl w:val="0"/>
        </w:rPr>
        <w:t xml:space="preserve">240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.ctx.currentTime);</w:t>
        <w:br w:type="textWrapping"/>
        <w:t xml:space="preserve">        osc.frequency.exponentialRampToValueAtTime(</w:t>
      </w:r>
      <w:r w:rsidDel="00000000" w:rsidR="00000000" w:rsidRPr="00000000">
        <w:rPr>
          <w:rFonts w:ascii="Google Sans" w:cs="Google Sans" w:eastAsia="Google Sans" w:hAnsi="Google Sans"/>
          <w:i w:val="0"/>
          <w:iCs w:val="0"/>
          <w:color w:val="ff96da"/>
          <w:sz w:val="20"/>
          <w:szCs w:val="20"/>
          <w:shd w:fill="141414" w:val="clear"/>
          <w:rtl w:val="0"/>
        </w:rPr>
        <w:t xml:space="preserve">480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.ctx.currentTime + </w:t>
      </w:r>
      <w:r w:rsidDel="00000000" w:rsidR="00000000" w:rsidRPr="00000000">
        <w:rPr>
          <w:rFonts w:ascii="Google Sans" w:cs="Google Sans" w:eastAsia="Google Sans" w:hAnsi="Google Sans"/>
          <w:i w:val="0"/>
          <w:iCs w:val="0"/>
          <w:color w:val="ff96da"/>
          <w:sz w:val="20"/>
          <w:szCs w:val="20"/>
          <w:shd w:fill="141414" w:val="clear"/>
          <w:rtl w:val="0"/>
        </w:rPr>
        <w:t xml:space="preserve">0.08</w:t>
      </w:r>
      <w:r w:rsidDel="00000000" w:rsidR="00000000" w:rsidRPr="00000000">
        <w:rPr>
          <w:rFonts w:ascii="Google Sans" w:cs="Google Sans" w:eastAsia="Google Sans" w:hAnsi="Google Sans"/>
          <w:color w:val="1f1f1f"/>
          <w:shd w:fill="141414" w:val="clear"/>
          <w:rtl w:val="0"/>
        </w:rPr>
        <w:t xml:space="preserve">);</w:t>
        <w:br w:type="textWrapping"/>
        <w:t xml:space="preserve">        gain.gain.setValueAtTime(</w:t>
      </w:r>
      <w:r w:rsidDel="00000000" w:rsidR="00000000" w:rsidRPr="00000000">
        <w:rPr>
          <w:rFonts w:ascii="Google Sans" w:cs="Google Sans" w:eastAsia="Google Sans" w:hAnsi="Google Sans"/>
          <w:i w:val="0"/>
          <w:iCs w:val="0"/>
          <w:color w:val="ff96da"/>
          <w:sz w:val="20"/>
          <w:szCs w:val="20"/>
          <w:shd w:fill="141414" w:val="clear"/>
          <w:rtl w:val="0"/>
        </w:rPr>
        <w:t xml:space="preserve">0.04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.ctx.currentTime);</w:t>
        <w:br w:type="textWrapping"/>
        <w:t xml:space="preserve">        gain.gain.exponentialRampToValueAtTime(</w:t>
      </w:r>
      <w:r w:rsidDel="00000000" w:rsidR="00000000" w:rsidRPr="00000000">
        <w:rPr>
          <w:rFonts w:ascii="Google Sans" w:cs="Google Sans" w:eastAsia="Google Sans" w:hAnsi="Google Sans"/>
          <w:i w:val="0"/>
          <w:iCs w:val="0"/>
          <w:color w:val="ff96da"/>
          <w:sz w:val="20"/>
          <w:szCs w:val="20"/>
          <w:shd w:fill="141414" w:val="clear"/>
          <w:rtl w:val="0"/>
        </w:rPr>
        <w:t xml:space="preserve">0.001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.ctx.currentTime + </w:t>
      </w:r>
      <w:r w:rsidDel="00000000" w:rsidR="00000000" w:rsidRPr="00000000">
        <w:rPr>
          <w:rFonts w:ascii="Google Sans" w:cs="Google Sans" w:eastAsia="Google Sans" w:hAnsi="Google Sans"/>
          <w:i w:val="0"/>
          <w:iCs w:val="0"/>
          <w:color w:val="ff96da"/>
          <w:sz w:val="20"/>
          <w:szCs w:val="20"/>
          <w:shd w:fill="141414" w:val="clear"/>
          <w:rtl w:val="0"/>
        </w:rPr>
        <w:t xml:space="preserve">0.08</w:t>
      </w:r>
      <w:r w:rsidDel="00000000" w:rsidR="00000000" w:rsidRPr="00000000">
        <w:rPr>
          <w:rFonts w:ascii="Google Sans" w:cs="Google Sans" w:eastAsia="Google Sans" w:hAnsi="Google Sans"/>
          <w:color w:val="1f1f1f"/>
          <w:shd w:fill="141414" w:val="clear"/>
          <w:rtl w:val="0"/>
        </w:rPr>
        <w:t xml:space="preserve">);</w:t>
        <w:br w:type="textWrapping"/>
        <w:t xml:space="preserve">        osc.connect(gain);</w:t>
        <w:br w:type="textWrapping"/>
        <w:t xml:space="preserve">        gain.connect(</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.ctx.destination);</w:t>
        <w:br w:type="textWrapping"/>
        <w:t xml:space="preserve">        osc.start();</w:t>
        <w:br w:type="textWrapping"/>
        <w:t xml:space="preserve">        osc.stop(</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.ctx.currentTime + </w:t>
      </w:r>
      <w:r w:rsidDel="00000000" w:rsidR="00000000" w:rsidRPr="00000000">
        <w:rPr>
          <w:rFonts w:ascii="Google Sans" w:cs="Google Sans" w:eastAsia="Google Sans" w:hAnsi="Google Sans"/>
          <w:i w:val="0"/>
          <w:iCs w:val="0"/>
          <w:color w:val="ff96da"/>
          <w:sz w:val="20"/>
          <w:szCs w:val="20"/>
          <w:shd w:fill="141414" w:val="clear"/>
          <w:rtl w:val="0"/>
        </w:rPr>
        <w:t xml:space="preserve">0.08</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High-tension multi-tone lock-on sweep when Louvain detects Q &gt; 0.60</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playClusterLock</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.init();</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523.25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659.25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783.99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1046.50</w:t>
      </w:r>
      <w:r w:rsidDel="00000000" w:rsidR="00000000" w:rsidRPr="00000000">
        <w:rPr>
          <w:rFonts w:ascii="Google Sans" w:cs="Google Sans" w:eastAsia="Google Sans" w:hAnsi="Google Sans"/>
          <w:color w:val="1f1f1f"/>
          <w:shd w:fill="141414" w:val="clear"/>
          <w:rtl w:val="0"/>
        </w:rPr>
        <w:t xml:space="preserve">].forEach(</w:t>
      </w:r>
      <w:r w:rsidDel="00000000" w:rsidR="00000000" w:rsidRPr="00000000">
        <w:rPr>
          <w:rFonts w:ascii="Google Sans" w:cs="Google Sans" w:eastAsia="Google Sans" w:hAnsi="Google Sans"/>
          <w:i w:val="0"/>
          <w:iCs w:val="0"/>
          <w:color w:val="ffffff"/>
          <w:sz w:val="20"/>
          <w:szCs w:val="20"/>
          <w:shd w:fill="141414" w:val="clear"/>
          <w:rtl w:val="0"/>
        </w:rPr>
        <w:t xml:space="preserve">(freq, index)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osc =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.ctx.createOscillator();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gain =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.ctx.createGain();</w:t>
        <w:br w:type="textWrapping"/>
        <w:t xml:space="preserve">            osc.type = </w:t>
      </w:r>
      <w:r w:rsidDel="00000000" w:rsidR="00000000" w:rsidRPr="00000000">
        <w:rPr>
          <w:rFonts w:ascii="Google Sans" w:cs="Google Sans" w:eastAsia="Google Sans" w:hAnsi="Google Sans"/>
          <w:i w:val="0"/>
          <w:iCs w:val="0"/>
          <w:color w:val="60d673"/>
          <w:sz w:val="20"/>
          <w:szCs w:val="20"/>
          <w:shd w:fill="141414" w:val="clear"/>
          <w:rtl w:val="0"/>
        </w:rPr>
        <w:t xml:space="preserve">'square'</w:t>
      </w:r>
      <w:r w:rsidDel="00000000" w:rsidR="00000000" w:rsidRPr="00000000">
        <w:rPr>
          <w:rFonts w:ascii="Google Sans" w:cs="Google Sans" w:eastAsia="Google Sans" w:hAnsi="Google Sans"/>
          <w:color w:val="1f1f1f"/>
          <w:shd w:fill="141414" w:val="clear"/>
          <w:rtl w:val="0"/>
        </w:rPr>
        <w:t xml:space="preserve">;</w:t>
        <w:br w:type="textWrapping"/>
        <w:t xml:space="preserve">            osc.frequency.setValueAtTime(freq,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.ctx.currentTime + (index * </w:t>
      </w:r>
      <w:r w:rsidDel="00000000" w:rsidR="00000000" w:rsidRPr="00000000">
        <w:rPr>
          <w:rFonts w:ascii="Google Sans" w:cs="Google Sans" w:eastAsia="Google Sans" w:hAnsi="Google Sans"/>
          <w:i w:val="0"/>
          <w:iCs w:val="0"/>
          <w:color w:val="ff96da"/>
          <w:sz w:val="20"/>
          <w:szCs w:val="20"/>
          <w:shd w:fill="141414" w:val="clear"/>
          <w:rtl w:val="0"/>
        </w:rPr>
        <w:t xml:space="preserve">0.04</w:t>
      </w:r>
      <w:r w:rsidDel="00000000" w:rsidR="00000000" w:rsidRPr="00000000">
        <w:rPr>
          <w:rFonts w:ascii="Google Sans" w:cs="Google Sans" w:eastAsia="Google Sans" w:hAnsi="Google Sans"/>
          <w:color w:val="1f1f1f"/>
          <w:shd w:fill="141414" w:val="clear"/>
          <w:rtl w:val="0"/>
        </w:rPr>
        <w:t xml:space="preserve">));</w:t>
        <w:br w:type="textWrapping"/>
        <w:t xml:space="preserve">            gain.gain.setValueAtTime(</w:t>
      </w:r>
      <w:r w:rsidDel="00000000" w:rsidR="00000000" w:rsidRPr="00000000">
        <w:rPr>
          <w:rFonts w:ascii="Google Sans" w:cs="Google Sans" w:eastAsia="Google Sans" w:hAnsi="Google Sans"/>
          <w:i w:val="0"/>
          <w:iCs w:val="0"/>
          <w:color w:val="ff96da"/>
          <w:sz w:val="20"/>
          <w:szCs w:val="20"/>
          <w:shd w:fill="141414" w:val="clear"/>
          <w:rtl w:val="0"/>
        </w:rPr>
        <w:t xml:space="preserve">0.02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.ctx.currentTime + (index * </w:t>
      </w:r>
      <w:r w:rsidDel="00000000" w:rsidR="00000000" w:rsidRPr="00000000">
        <w:rPr>
          <w:rFonts w:ascii="Google Sans" w:cs="Google Sans" w:eastAsia="Google Sans" w:hAnsi="Google Sans"/>
          <w:i w:val="0"/>
          <w:iCs w:val="0"/>
          <w:color w:val="ff96da"/>
          <w:sz w:val="20"/>
          <w:szCs w:val="20"/>
          <w:shd w:fill="141414" w:val="clear"/>
          <w:rtl w:val="0"/>
        </w:rPr>
        <w:t xml:space="preserve">0.04</w:t>
      </w:r>
      <w:r w:rsidDel="00000000" w:rsidR="00000000" w:rsidRPr="00000000">
        <w:rPr>
          <w:rFonts w:ascii="Google Sans" w:cs="Google Sans" w:eastAsia="Google Sans" w:hAnsi="Google Sans"/>
          <w:color w:val="1f1f1f"/>
          <w:shd w:fill="141414" w:val="clear"/>
          <w:rtl w:val="0"/>
        </w:rPr>
        <w:t xml:space="preserve">));</w:t>
        <w:br w:type="textWrapping"/>
        <w:t xml:space="preserve">            gain.gain.exponentialRampToValueAtTime(</w:t>
      </w:r>
      <w:r w:rsidDel="00000000" w:rsidR="00000000" w:rsidRPr="00000000">
        <w:rPr>
          <w:rFonts w:ascii="Google Sans" w:cs="Google Sans" w:eastAsia="Google Sans" w:hAnsi="Google Sans"/>
          <w:i w:val="0"/>
          <w:iCs w:val="0"/>
          <w:color w:val="ff96da"/>
          <w:sz w:val="20"/>
          <w:szCs w:val="20"/>
          <w:shd w:fill="141414" w:val="clear"/>
          <w:rtl w:val="0"/>
        </w:rPr>
        <w:t xml:space="preserve">0.001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.ctx.currentTime + (index * </w:t>
      </w:r>
      <w:r w:rsidDel="00000000" w:rsidR="00000000" w:rsidRPr="00000000">
        <w:rPr>
          <w:rFonts w:ascii="Google Sans" w:cs="Google Sans" w:eastAsia="Google Sans" w:hAnsi="Google Sans"/>
          <w:i w:val="0"/>
          <w:iCs w:val="0"/>
          <w:color w:val="ff96da"/>
          <w:sz w:val="20"/>
          <w:szCs w:val="20"/>
          <w:shd w:fill="141414" w:val="clear"/>
          <w:rtl w:val="0"/>
        </w:rPr>
        <w:t xml:space="preserve">0.04</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0.1</w:t>
      </w:r>
      <w:r w:rsidDel="00000000" w:rsidR="00000000" w:rsidRPr="00000000">
        <w:rPr>
          <w:rFonts w:ascii="Google Sans" w:cs="Google Sans" w:eastAsia="Google Sans" w:hAnsi="Google Sans"/>
          <w:color w:val="1f1f1f"/>
          <w:shd w:fill="141414" w:val="clear"/>
          <w:rtl w:val="0"/>
        </w:rPr>
        <w:t xml:space="preserve">);</w:t>
        <w:br w:type="textWrapping"/>
        <w:t xml:space="preserve">            osc.connect(gain);</w:t>
        <w:br w:type="textWrapping"/>
        <w:t xml:space="preserve">            gain.connect(</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.ctx.destination);</w:t>
        <w:br w:type="textWrapping"/>
        <w:t xml:space="preserve">            osc.start(</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.ctx.currentTime + (index * </w:t>
      </w:r>
      <w:r w:rsidDel="00000000" w:rsidR="00000000" w:rsidRPr="00000000">
        <w:rPr>
          <w:rFonts w:ascii="Google Sans" w:cs="Google Sans" w:eastAsia="Google Sans" w:hAnsi="Google Sans"/>
          <w:i w:val="0"/>
          <w:iCs w:val="0"/>
          <w:color w:val="ff96da"/>
          <w:sz w:val="20"/>
          <w:szCs w:val="20"/>
          <w:shd w:fill="141414" w:val="clear"/>
          <w:rtl w:val="0"/>
        </w:rPr>
        <w:t xml:space="preserve">0.04</w:t>
      </w:r>
      <w:r w:rsidDel="00000000" w:rsidR="00000000" w:rsidRPr="00000000">
        <w:rPr>
          <w:rFonts w:ascii="Google Sans" w:cs="Google Sans" w:eastAsia="Google Sans" w:hAnsi="Google Sans"/>
          <w:color w:val="1f1f1f"/>
          <w:shd w:fill="141414" w:val="clear"/>
          <w:rtl w:val="0"/>
        </w:rPr>
        <w:t xml:space="preserve">));</w:t>
        <w:br w:type="textWrapping"/>
        <w:t xml:space="preserve">            osc.stop(</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.ctx.currentTime + (index * </w:t>
      </w:r>
      <w:r w:rsidDel="00000000" w:rsidR="00000000" w:rsidRPr="00000000">
        <w:rPr>
          <w:rFonts w:ascii="Google Sans" w:cs="Google Sans" w:eastAsia="Google Sans" w:hAnsi="Google Sans"/>
          <w:i w:val="0"/>
          <w:iCs w:val="0"/>
          <w:color w:val="ff96da"/>
          <w:sz w:val="20"/>
          <w:szCs w:val="20"/>
          <w:shd w:fill="141414" w:val="clear"/>
          <w:rtl w:val="0"/>
        </w:rPr>
        <w:t xml:space="preserve">0.04</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0.1</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Heavy resonant sub-bass drop on 1-Click Quarantine execution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playQuarantineDetonation</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.init();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osc =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.ctx.createOscillator();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gain =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.ctx.createGain();</w:t>
        <w:br w:type="textWrapping"/>
        <w:t xml:space="preserve">        osc.type = </w:t>
      </w:r>
      <w:r w:rsidDel="00000000" w:rsidR="00000000" w:rsidRPr="00000000">
        <w:rPr>
          <w:rFonts w:ascii="Google Sans" w:cs="Google Sans" w:eastAsia="Google Sans" w:hAnsi="Google Sans"/>
          <w:i w:val="0"/>
          <w:iCs w:val="0"/>
          <w:color w:val="60d673"/>
          <w:sz w:val="20"/>
          <w:szCs w:val="20"/>
          <w:shd w:fill="141414" w:val="clear"/>
          <w:rtl w:val="0"/>
        </w:rPr>
        <w:t xml:space="preserve">'sawtooth'</w:t>
      </w:r>
      <w:r w:rsidDel="00000000" w:rsidR="00000000" w:rsidRPr="00000000">
        <w:rPr>
          <w:rFonts w:ascii="Google Sans" w:cs="Google Sans" w:eastAsia="Google Sans" w:hAnsi="Google Sans"/>
          <w:color w:val="1f1f1f"/>
          <w:shd w:fill="141414" w:val="clear"/>
          <w:rtl w:val="0"/>
        </w:rPr>
        <w:t xml:space="preserve">;</w:t>
        <w:br w:type="textWrapping"/>
        <w:t xml:space="preserve">        osc.frequency.setValueAtTime(</w:t>
      </w:r>
      <w:r w:rsidDel="00000000" w:rsidR="00000000" w:rsidRPr="00000000">
        <w:rPr>
          <w:rFonts w:ascii="Google Sans" w:cs="Google Sans" w:eastAsia="Google Sans" w:hAnsi="Google Sans"/>
          <w:i w:val="0"/>
          <w:iCs w:val="0"/>
          <w:color w:val="ff96da"/>
          <w:sz w:val="20"/>
          <w:szCs w:val="20"/>
          <w:shd w:fill="141414" w:val="clear"/>
          <w:rtl w:val="0"/>
        </w:rPr>
        <w:t xml:space="preserve">110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.ctx.currentTime);</w:t>
        <w:br w:type="textWrapping"/>
        <w:t xml:space="preserve">        osc.frequency.exponentialRampToValueAtTime(</w:t>
      </w:r>
      <w:r w:rsidDel="00000000" w:rsidR="00000000" w:rsidRPr="00000000">
        <w:rPr>
          <w:rFonts w:ascii="Google Sans" w:cs="Google Sans" w:eastAsia="Google Sans" w:hAnsi="Google Sans"/>
          <w:i w:val="0"/>
          <w:iCs w:val="0"/>
          <w:color w:val="ff96da"/>
          <w:sz w:val="20"/>
          <w:szCs w:val="20"/>
          <w:shd w:fill="141414" w:val="clear"/>
          <w:rtl w:val="0"/>
        </w:rPr>
        <w:t xml:space="preserve">28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.ctx.currentTime + </w:t>
      </w:r>
      <w:r w:rsidDel="00000000" w:rsidR="00000000" w:rsidRPr="00000000">
        <w:rPr>
          <w:rFonts w:ascii="Google Sans" w:cs="Google Sans" w:eastAsia="Google Sans" w:hAnsi="Google Sans"/>
          <w:i w:val="0"/>
          <w:iCs w:val="0"/>
          <w:color w:val="ff96da"/>
          <w:sz w:val="20"/>
          <w:szCs w:val="20"/>
          <w:shd w:fill="141414" w:val="clear"/>
          <w:rtl w:val="0"/>
        </w:rPr>
        <w:t xml:space="preserve">0.45</w:t>
      </w:r>
      <w:r w:rsidDel="00000000" w:rsidR="00000000" w:rsidRPr="00000000">
        <w:rPr>
          <w:rFonts w:ascii="Google Sans" w:cs="Google Sans" w:eastAsia="Google Sans" w:hAnsi="Google Sans"/>
          <w:color w:val="1f1f1f"/>
          <w:shd w:fill="141414" w:val="clear"/>
          <w:rtl w:val="0"/>
        </w:rPr>
        <w:t xml:space="preserve">);</w:t>
        <w:br w:type="textWrapping"/>
        <w:t xml:space="preserve">        gain.gain.setValueAtTime(</w:t>
      </w:r>
      <w:r w:rsidDel="00000000" w:rsidR="00000000" w:rsidRPr="00000000">
        <w:rPr>
          <w:rFonts w:ascii="Google Sans" w:cs="Google Sans" w:eastAsia="Google Sans" w:hAnsi="Google Sans"/>
          <w:i w:val="0"/>
          <w:iCs w:val="0"/>
          <w:color w:val="ff96da"/>
          <w:sz w:val="20"/>
          <w:szCs w:val="20"/>
          <w:shd w:fill="141414" w:val="clear"/>
          <w:rtl w:val="0"/>
        </w:rPr>
        <w:t xml:space="preserve">0.18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.ctx.currentTime);</w:t>
        <w:br w:type="textWrapping"/>
        <w:t xml:space="preserve">        gain.gain.exponentialRampToValueAtTime(</w:t>
      </w:r>
      <w:r w:rsidDel="00000000" w:rsidR="00000000" w:rsidRPr="00000000">
        <w:rPr>
          <w:rFonts w:ascii="Google Sans" w:cs="Google Sans" w:eastAsia="Google Sans" w:hAnsi="Google Sans"/>
          <w:i w:val="0"/>
          <w:iCs w:val="0"/>
          <w:color w:val="ff96da"/>
          <w:sz w:val="20"/>
          <w:szCs w:val="20"/>
          <w:shd w:fill="141414" w:val="clear"/>
          <w:rtl w:val="0"/>
        </w:rPr>
        <w:t xml:space="preserve">0.001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.ctx.currentTime + </w:t>
      </w:r>
      <w:r w:rsidDel="00000000" w:rsidR="00000000" w:rsidRPr="00000000">
        <w:rPr>
          <w:rFonts w:ascii="Google Sans" w:cs="Google Sans" w:eastAsia="Google Sans" w:hAnsi="Google Sans"/>
          <w:i w:val="0"/>
          <w:iCs w:val="0"/>
          <w:color w:val="ff96da"/>
          <w:sz w:val="20"/>
          <w:szCs w:val="20"/>
          <w:shd w:fill="141414" w:val="clear"/>
          <w:rtl w:val="0"/>
        </w:rPr>
        <w:t xml:space="preserve">0.45</w:t>
      </w:r>
      <w:r w:rsidDel="00000000" w:rsidR="00000000" w:rsidRPr="00000000">
        <w:rPr>
          <w:rFonts w:ascii="Google Sans" w:cs="Google Sans" w:eastAsia="Google Sans" w:hAnsi="Google Sans"/>
          <w:color w:val="1f1f1f"/>
          <w:shd w:fill="141414" w:val="clear"/>
          <w:rtl w:val="0"/>
        </w:rPr>
        <w:t xml:space="preserve">);</w:t>
        <w:br w:type="textWrapping"/>
        <w:t xml:space="preserve">        osc.connect(gain);</w:t>
        <w:br w:type="textWrapping"/>
        <w:t xml:space="preserve">        gain.connect(</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.ctx.destination);</w:t>
        <w:br w:type="textWrapping"/>
        <w:t xml:space="preserve">        osc.start();</w:t>
        <w:br w:type="textWrapping"/>
        <w:t xml:space="preserve">        osc.stop(</w:t>
      </w:r>
      <w:r w:rsidDel="00000000" w:rsidR="00000000" w:rsidRPr="00000000">
        <w:rPr>
          <w:rFonts w:ascii="Google Sans" w:cs="Google Sans" w:eastAsia="Google Sans" w:hAnsi="Google Sans"/>
          <w:i w:val="0"/>
          <w:iCs w:val="0"/>
          <w:color w:val="ff5a59"/>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.ctx.currentTime + </w:t>
      </w:r>
      <w:r w:rsidDel="00000000" w:rsidR="00000000" w:rsidRPr="00000000">
        <w:rPr>
          <w:rFonts w:ascii="Google Sans" w:cs="Google Sans" w:eastAsia="Google Sans" w:hAnsi="Google Sans"/>
          <w:i w:val="0"/>
          <w:iCs w:val="0"/>
          <w:color w:val="ff96da"/>
          <w:sz w:val="20"/>
          <w:szCs w:val="20"/>
          <w:shd w:fill="141414" w:val="clear"/>
          <w:rtl w:val="0"/>
        </w:rPr>
        <w:t xml:space="preserve">0.45</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auditory engine binds seamlessly to UI telemetry tickers across the top and side borders of the cockpit. These tickers display continuous, high-frequency streaming system states: ingress packet processing velocity, real-time ONNX inference latency (</w:t>
      </w:r>
      <w:r w:rsidDel="00000000" w:rsidR="00000000" w:rsidRPr="00000000">
        <w:rPr>
          <w:rFonts w:ascii="Google Sans" w:cs="Google Sans" w:eastAsia="Google Sans" w:hAnsi="Google Sans"/>
          <w:color w:val="1f1f1f"/>
        </w:rPr>
        <w:drawing>
          <wp:inline distB="19050" distT="19050" distL="19050" distR="19050">
            <wp:extent cx="691832" cy="234002"/>
            <wp:effectExtent b="0" l="0" r="0" t="0"/>
            <wp:docPr id="63"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691832" cy="234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active Louvain modularity index (</w:t>
      </w:r>
      <w:r w:rsidDel="00000000" w:rsidR="00000000" w:rsidRPr="00000000">
        <w:rPr>
          <w:rFonts w:ascii="Google Sans" w:cs="Google Sans" w:eastAsia="Google Sans" w:hAnsi="Google Sans"/>
          <w:color w:val="1f1f1f"/>
        </w:rPr>
        <w:drawing>
          <wp:inline distB="19050" distT="19050" distL="19050" distR="19050">
            <wp:extent cx="154940" cy="247905"/>
            <wp:effectExtent b="0" l="0" r="0" t="0"/>
            <wp:docPr id="65" name="image58.png"/>
            <a:graphic>
              <a:graphicData uri="http://schemas.openxmlformats.org/drawingml/2006/picture">
                <pic:pic>
                  <pic:nvPicPr>
                    <pic:cNvPr id="0" name="image58.png"/>
                    <pic:cNvPicPr preferRelativeResize="0"/>
                  </pic:nvPicPr>
                  <pic:blipFill>
                    <a:blip r:embed="rId16"/>
                    <a:srcRect b="0" l="0" r="0" t="0"/>
                    <a:stretch>
                      <a:fillRect/>
                    </a:stretch>
                  </pic:blipFill>
                  <pic:spPr>
                    <a:xfrm>
                      <a:off x="0" y="0"/>
                      <a:ext cx="154940" cy="247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streaming cryptographic session hashes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integration of procedural audio cues with real-time telemetry counters establishes a level of operational fidelity indistinguishable from top-tier institutional cyber-ranges.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4-Laptop Cyber-Range Live Execution Stress-Test</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Network, and Operating System Failure Modes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Demonstrating a multi-device distributed security architecture across a local wireless access point introduces multiple failure vectors across the physical, transport, and OS application layers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high-density radio-frequency (RF) environments such as hackathon venues, operating over standard mobile Wi-Fi requires precise mitigation of network and host configurations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Vector / Layer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Latent Failure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Deterministic Remediation Protocol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Hotspot AP Isolation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Default commercial router firmware isolates WLAN clients, dropping peer-to-peer frames.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Laptops 1, 3, and 4 cannot reach FastAPI on Laptop 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 stock Google Pixel hotspot (which disables AP client isolation by default)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DHCP Lease Re-allocation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Android OS reclaims DHCP leases after idle periods, changing IP assignments.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Staged frontend endpoints targeting 192.168.43.2 drop connections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 static IP addressing on Laptop 2 (192.168.43.2/24, Gateway: 192.168.43.1).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Windows Defender Silent Drops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 Firewall silently discards unsolicited inbound TCP connections on port 8000</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Ingress telemetry fails silently; HTTP timeout cascades across clients.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 pre-demo administrative firewall rule via PowerShell / netsh</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Chromium Memory Exhaustion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simultaneous Playwright Chromium contexts exhaust system RAM and shared memory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 OOM Killer abruptly terminates the browser process; demo crashes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Launch single Chromium instance leasing shared contexts with strict lifecycle pooling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WebSocket Event Throttling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browser background-tab throttling slows or suspends WebSocket event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Telemetry graph freezes; graph visualizer drops to 0 FPS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 dashboard browser window with disabled background throttling flags.</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Windows Defender Firewall interference on the non-Linux stations (Laptops 1, 3, and 4), administrative firewall rules must be registered prior to the live run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PowerShell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Execute in Administrative PowerShell on Windows Stations (1, 3, and 4)</w:t>
      </w:r>
      <w:r w:rsidDel="00000000" w:rsidR="00000000" w:rsidRPr="00000000">
        <w:rPr>
          <w:rFonts w:ascii="Google Sans" w:cs="Google Sans" w:eastAsia="Google Sans" w:hAnsi="Google Sans"/>
          <w:color w:val="1f1f1f"/>
          <w:shd w:fill="141414" w:val="clear"/>
          <w:rtl w:val="0"/>
        </w:rPr>
        <w:br w:type="textWrapping"/>
        <w:t xml:space="preserve">netsh advfirewall firewall add rule name=</w:t>
      </w:r>
      <w:r w:rsidDel="00000000" w:rsidR="00000000" w:rsidRPr="00000000">
        <w:rPr>
          <w:rFonts w:ascii="Google Sans" w:cs="Google Sans" w:eastAsia="Google Sans" w:hAnsi="Google Sans"/>
          <w:i w:val="0"/>
          <w:iCs w:val="0"/>
          <w:color w:val="60d673"/>
          <w:sz w:val="20"/>
          <w:szCs w:val="20"/>
          <w:shd w:fill="141414" w:val="clear"/>
          <w:rtl w:val="0"/>
        </w:rPr>
        <w:t xml:space="preserve">"ShadowGram_Inbound_8000"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dir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action=allow protocol=TCP localport=</w:t>
      </w:r>
      <w:r w:rsidDel="00000000" w:rsidR="00000000" w:rsidRPr="00000000">
        <w:rPr>
          <w:rFonts w:ascii="Google Sans" w:cs="Google Sans" w:eastAsia="Google Sans" w:hAnsi="Google Sans"/>
          <w:i w:val="0"/>
          <w:iCs w:val="0"/>
          <w:color w:val="ff96da"/>
          <w:sz w:val="20"/>
          <w:szCs w:val="20"/>
          <w:shd w:fill="141414" w:val="clear"/>
          <w:rtl w:val="0"/>
        </w:rPr>
        <w:t xml:space="preserve">8000</w:t>
      </w:r>
      <w:r w:rsidDel="00000000" w:rsidR="00000000" w:rsidRPr="00000000">
        <w:rPr>
          <w:rFonts w:ascii="Google Sans" w:cs="Google Sans" w:eastAsia="Google Sans" w:hAnsi="Google Sans"/>
          <w:color w:val="1f1f1f"/>
          <w:shd w:fill="141414" w:val="clear"/>
          <w:rtl w:val="0"/>
        </w:rPr>
        <w:t xml:space="preserve"> profile=any</w:t>
        <w:br w:type="textWrapping"/>
        <w:t xml:space="preserve">netsh advfirewall firewall add rule name=</w:t>
      </w:r>
      <w:r w:rsidDel="00000000" w:rsidR="00000000" w:rsidRPr="00000000">
        <w:rPr>
          <w:rFonts w:ascii="Google Sans" w:cs="Google Sans" w:eastAsia="Google Sans" w:hAnsi="Google Sans"/>
          <w:i w:val="0"/>
          <w:iCs w:val="0"/>
          <w:color w:val="60d673"/>
          <w:sz w:val="20"/>
          <w:szCs w:val="20"/>
          <w:shd w:fill="141414" w:val="clear"/>
          <w:rtl w:val="0"/>
        </w:rPr>
        <w:t xml:space="preserve">"ShadowGram_Inbound_3000"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dir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action=allow protocol=TCP localport=</w:t>
      </w:r>
      <w:r w:rsidDel="00000000" w:rsidR="00000000" w:rsidRPr="00000000">
        <w:rPr>
          <w:rFonts w:ascii="Google Sans" w:cs="Google Sans" w:eastAsia="Google Sans" w:hAnsi="Google Sans"/>
          <w:i w:val="0"/>
          <w:iCs w:val="0"/>
          <w:color w:val="ff96da"/>
          <w:sz w:val="20"/>
          <w:szCs w:val="20"/>
          <w:shd w:fill="141414" w:val="clear"/>
          <w:rtl w:val="0"/>
        </w:rPr>
        <w:t xml:space="preserve">3000</w:t>
      </w:r>
      <w:r w:rsidDel="00000000" w:rsidR="00000000" w:rsidRPr="00000000">
        <w:rPr>
          <w:rFonts w:ascii="Google Sans" w:cs="Google Sans" w:eastAsia="Google Sans" w:hAnsi="Google Sans"/>
          <w:color w:val="1f1f1f"/>
          <w:shd w:fill="141414" w:val="clear"/>
          <w:rtl w:val="0"/>
        </w:rPr>
        <w:t xml:space="preserve"> profile=any</w:t>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Set-NetConnectionProfile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-InterfaceAlias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"Wi-Fi"</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-NetworkCategory</w:t>
      </w:r>
      <w:r w:rsidDel="00000000" w:rsidR="00000000" w:rsidRPr="00000000">
        <w:rPr>
          <w:rFonts w:ascii="Google Sans" w:cs="Google Sans" w:eastAsia="Google Sans" w:hAnsi="Google Sans"/>
          <w:color w:val="1f1f1f"/>
          <w:shd w:fill="141414" w:val="clear"/>
          <w:rtl w:val="0"/>
        </w:rPr>
        <w:t xml:space="preserve"> Private</w:t>
        <w:br w:type="textWrapping"/>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Station 1 (the Playwright Red Team Attacker), running 20 individual browser instances will rapidly exhaust the 16GB system RAM, triggering Windows pagefile thrashing and failing the attack run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attack runner must utilize a lightweight, pooled BrowserContext architecture, disallowing video recording and trace generation, while aggressively blocking third-party media assets to minimize memory footprint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High-Efficiency Swarm Execution Harness (Station 1: Alan)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asyncio</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playwright.async_api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async_playwright</w:t>
        <w:br w:type="textWrapping"/>
        <w:br w:type="textWrapping"/>
        <w:t xml:space="preserve">MAX_CONCURRENT_BOTS =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execute_bot_context</w:t>
      </w:r>
      <w:r w:rsidDel="00000000" w:rsidR="00000000" w:rsidRPr="00000000">
        <w:rPr>
          <w:rFonts w:ascii="Google Sans" w:cs="Google Sans" w:eastAsia="Google Sans" w:hAnsi="Google Sans"/>
          <w:i w:val="0"/>
          <w:iCs w:val="0"/>
          <w:color w:val="ffffff"/>
          <w:sz w:val="20"/>
          <w:szCs w:val="20"/>
          <w:shd w:fill="141414" w:val="clear"/>
          <w:rtl w:val="0"/>
        </w:rPr>
        <w:t xml:space="preserve">(browser, bot_id, target_url):</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Lightweight logical isolation without spawning new OS-level GPU/rendering processes</w:t>
      </w:r>
      <w:r w:rsidDel="00000000" w:rsidR="00000000" w:rsidRPr="00000000">
        <w:rPr>
          <w:rFonts w:ascii="Google Sans" w:cs="Google Sans" w:eastAsia="Google Sans" w:hAnsi="Google Sans"/>
          <w:color w:val="1f1f1f"/>
          <w:shd w:fill="141414" w:val="clear"/>
          <w:rtl w:val="0"/>
        </w:rPr>
        <w:br w:type="textWrapping"/>
        <w:t xml:space="preserve">    context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browser.new_context(</w:t>
        <w:br w:type="textWrapping"/>
        <w:t xml:space="preserve">        viewport={</w:t>
      </w:r>
      <w:r w:rsidDel="00000000" w:rsidR="00000000" w:rsidRPr="00000000">
        <w:rPr>
          <w:rFonts w:ascii="Google Sans" w:cs="Google Sans" w:eastAsia="Google Sans" w:hAnsi="Google Sans"/>
          <w:i w:val="0"/>
          <w:iCs w:val="0"/>
          <w:color w:val="60d673"/>
          <w:sz w:val="20"/>
          <w:szCs w:val="20"/>
          <w:shd w:fill="141414" w:val="clear"/>
          <w:rtl w:val="0"/>
        </w:rPr>
        <w:t xml:space="preserve">'width'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1280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'height'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720</w:t>
      </w:r>
      <w:r w:rsidDel="00000000" w:rsidR="00000000" w:rsidRPr="00000000">
        <w:rPr>
          <w:rFonts w:ascii="Google Sans" w:cs="Google Sans" w:eastAsia="Google Sans" w:hAnsi="Google Sans"/>
          <w:color w:val="1f1f1f"/>
          <w:shd w:fill="141414" w:val="clear"/>
          <w:rtl w:val="0"/>
        </w:rPr>
        <w:t xml:space="preserve">},</w:t>
        <w:br w:type="textWrapping"/>
        <w:t xml:space="preserve">        user_agent=</w:t>
      </w:r>
      <w:r w:rsidDel="00000000" w:rsidR="00000000" w:rsidRPr="00000000">
        <w:rPr>
          <w:rFonts w:ascii="Google Sans" w:cs="Google Sans" w:eastAsia="Google Sans" w:hAnsi="Google Sans"/>
          <w:i w:val="0"/>
          <w:iCs w:val="0"/>
          <w:color w:val="60d673"/>
          <w:sz w:val="20"/>
          <w:szCs w:val="20"/>
          <w:shd w:fill="141414" w:val="clear"/>
          <w:rtl w:val="0"/>
        </w:rPr>
        <w:t xml:space="preserve">f"ShadowBot-Agent-{bot_id}/2026.1"</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page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context.new_page()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Block heavy binary assets to preserve local RAM and radio bandwidth</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page.route(</w:t>
      </w:r>
      <w:r w:rsidDel="00000000" w:rsidR="00000000" w:rsidRPr="00000000">
        <w:rPr>
          <w:rFonts w:ascii="Google Sans" w:cs="Google Sans" w:eastAsia="Google Sans" w:hAnsi="Google Sans"/>
          <w:i w:val="0"/>
          <w:iCs w:val="0"/>
          <w:color w:val="60d673"/>
          <w:sz w:val="20"/>
          <w:szCs w:val="20"/>
          <w:shd w:fill="141414" w:val="clear"/>
          <w:rtl w:val="0"/>
        </w:rPr>
        <w:t xml:space="preserve">"**/*.{png,jpg,jpeg,svg,woff,woff2}"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lambda</w:t>
      </w:r>
      <w:r w:rsidDel="00000000" w:rsidR="00000000" w:rsidRPr="00000000">
        <w:rPr>
          <w:rFonts w:ascii="Google Sans" w:cs="Google Sans" w:eastAsia="Google Sans" w:hAnsi="Google Sans"/>
          <w:color w:val="1f1f1f"/>
          <w:shd w:fill="141414" w:val="clear"/>
          <w:rtl w:val="0"/>
        </w:rPr>
        <w:t xml:space="preserve"> route: route.abort())</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page.goto(target_url, wait_until=</w:t>
      </w:r>
      <w:r w:rsidDel="00000000" w:rsidR="00000000" w:rsidRPr="00000000">
        <w:rPr>
          <w:rFonts w:ascii="Google Sans" w:cs="Google Sans" w:eastAsia="Google Sans" w:hAnsi="Google Sans"/>
          <w:i w:val="0"/>
          <w:iCs w:val="0"/>
          <w:color w:val="60d673"/>
          <w:sz w:val="20"/>
          <w:szCs w:val="20"/>
          <w:shd w:fill="141414" w:val="clear"/>
          <w:rtl w:val="0"/>
        </w:rPr>
        <w:t xml:space="preserve">"domcontentloaded"</w:t>
      </w:r>
      <w:r w:rsidDel="00000000" w:rsidR="00000000" w:rsidRPr="00000000">
        <w:rPr>
          <w:rFonts w:ascii="Google Sans" w:cs="Google Sans" w:eastAsia="Google Sans" w:hAnsi="Google Sans"/>
          <w:color w:val="1f1f1f"/>
          <w:shd w:fill="141414" w:val="clear"/>
          <w:rtl w:val="0"/>
        </w:rPr>
        <w:t xml:space="preserve">, timeout=</w:t>
      </w:r>
      <w:r w:rsidDel="00000000" w:rsidR="00000000" w:rsidRPr="00000000">
        <w:rPr>
          <w:rFonts w:ascii="Google Sans" w:cs="Google Sans" w:eastAsia="Google Sans" w:hAnsi="Google Sans"/>
          <w:i w:val="0"/>
          <w:iCs w:val="0"/>
          <w:color w:val="ff96da"/>
          <w:sz w:val="20"/>
          <w:szCs w:val="20"/>
          <w:shd w:fill="141414" w:val="clear"/>
          <w:rtl w:val="0"/>
        </w:rPr>
        <w:t xml:space="preserve">8000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Sequence through application flow</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page.fill(</w:t>
      </w:r>
      <w:r w:rsidDel="00000000" w:rsidR="00000000" w:rsidRPr="00000000">
        <w:rPr>
          <w:rFonts w:ascii="Google Sans" w:cs="Google Sans" w:eastAsia="Google Sans" w:hAnsi="Google Sans"/>
          <w:i w:val="0"/>
          <w:iCs w:val="0"/>
          <w:color w:val="60d673"/>
          <w:sz w:val="20"/>
          <w:szCs w:val="20"/>
          <w:shd w:fill="141414" w:val="clear"/>
          <w:rtl w:val="0"/>
        </w:rPr>
        <w:t xml:space="preserve">"#applicant-name"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f"Synthetic-Persona-{bot_id:03d}"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page.fill(</w:t>
      </w:r>
      <w:r w:rsidDel="00000000" w:rsidR="00000000" w:rsidRPr="00000000">
        <w:rPr>
          <w:rFonts w:ascii="Google Sans" w:cs="Google Sans" w:eastAsia="Google Sans" w:hAnsi="Google Sans"/>
          <w:i w:val="0"/>
          <w:iCs w:val="0"/>
          <w:color w:val="60d673"/>
          <w:sz w:val="20"/>
          <w:szCs w:val="20"/>
          <w:shd w:fill="141414" w:val="clear"/>
          <w:rtl w:val="0"/>
        </w:rPr>
        <w:t xml:space="preserve">"#loan-purpose"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"Short term inventory bridge financing requirements"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page.click(</w:t>
      </w:r>
      <w:r w:rsidDel="00000000" w:rsidR="00000000" w:rsidRPr="00000000">
        <w:rPr>
          <w:rFonts w:ascii="Google Sans" w:cs="Google Sans" w:eastAsia="Google Sans" w:hAnsi="Google Sans"/>
          <w:i w:val="0"/>
          <w:iCs w:val="0"/>
          <w:color w:val="60d673"/>
          <w:sz w:val="20"/>
          <w:szCs w:val="20"/>
          <w:shd w:fill="141414" w:val="clear"/>
          <w:rtl w:val="0"/>
        </w:rPr>
        <w:t xml:space="preserve">"#btn-submit-tier1"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asyncio.sleep(</w:t>
      </w:r>
      <w:r w:rsidDel="00000000" w:rsidR="00000000" w:rsidRPr="00000000">
        <w:rPr>
          <w:rFonts w:ascii="Google Sans" w:cs="Google Sans" w:eastAsia="Google Sans" w:hAnsi="Google Sans"/>
          <w:i w:val="0"/>
          <w:iCs w:val="0"/>
          <w:color w:val="ff96da"/>
          <w:sz w:val="20"/>
          <w:szCs w:val="20"/>
          <w:shd w:fill="141414" w:val="clear"/>
          <w:rtl w:val="0"/>
        </w:rPr>
        <w:t xml:space="preserve">0.04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Enforce synchronized 40ms arrival delta</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finally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page.close()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context.close()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launch_swarm</w:t>
      </w:r>
      <w:r w:rsidDel="00000000" w:rsidR="00000000" w:rsidRPr="00000000">
        <w:rPr>
          <w:rFonts w:ascii="Google Sans" w:cs="Google Sans" w:eastAsia="Google Sans" w:hAnsi="Google Sans"/>
          <w:i w:val="0"/>
          <w:iCs w:val="0"/>
          <w:color w:val="ffffff"/>
          <w:sz w:val="20"/>
          <w:szCs w:val="20"/>
          <w:shd w:fill="141414" w:val="clear"/>
          <w:rtl w:val="0"/>
        </w:rPr>
        <w:t xml:space="preserve">(target_url):</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async_playwright()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w:t>
        <w:br w:type="textWrapping"/>
        <w:t xml:space="preserve">        browser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p.chromium.launch(</w:t>
        <w:br w:type="textWrapping"/>
        <w:t xml:space="preserve">            headless=</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args=[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"--disable-dev-shm-usage"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"--no-sandbox"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"--disable-gpu"</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"--single-process"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tasks = [execute_bot_context(browser, i, target_url)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i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range</w:t>
      </w:r>
      <w:r w:rsidDel="00000000" w:rsidR="00000000" w:rsidRPr="00000000">
        <w:rPr>
          <w:rFonts w:ascii="Google Sans" w:cs="Google Sans" w:eastAsia="Google Sans" w:hAnsi="Google Sans"/>
          <w:color w:val="1f1f1f"/>
          <w:shd w:fill="141414" w:val="clear"/>
          <w:rtl w:val="0"/>
        </w:rPr>
        <w:t xml:space="preserve">(MAX_CONCURRENT_BOTS)]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asyncio.gather(*tasks)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browser.close()</w:t>
        <w:br w:type="textWrapping"/>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Ergonomics, Display Sightlines, and Hardware Topology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Hackathon judging tables are constrained physical environments subject to severe spatial congestion and physical movement. If the hardware setup fails to communicate the causal link between the attacking agent, the target platform, the detection engine, and the remediation dashboard, judges will struggle to grasp the system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Cyber-Range Station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Assigned Engineer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 Placement &amp; Screen Angle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Display Role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Station 1: The Adversary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Alan Alexander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Gaming Laptop #1 (Multi-Core CPU, Windows)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Left Wing, angled 45° inward toward center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High-contrast terminal streaming 20 Playwright worker processes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Station 2: Command Cockpit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Pete (Lead Architect)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Gaming Laptop #2 (RTX 2050, Linux CachyOS)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Center Stage, elevated 10cm, tilted 110°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WebGL Particle Galaxy at 60 FPS and live telemetry HUD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Station 3: Target Application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Aiswarya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Laptop #1 (Office Specs, Windows)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Right Foreground, flat, angled to approaching judge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AthenaPay instant micro-lending portal for live user input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Station 4: Compliance Console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Mohammed Nihad / Ashlin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Laptop #2 (Office Specs, Windows)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Right Wing, angled 45° inward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Officer queue, armed 1-Click Quarantine switch, and SAR export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cabling must be secured. The Google Pixel must be physically tethered via USB-C to a dedicated power bank to prevent Android thermal throttling, with the Android Developer Option "Stay Awake While Charging" enabled to ensure the Wi-Fi hotspot remains active. All four laptop chargers must be connected to an industrial multi-outlet surge protector taped securely beneath the table.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Stress-Testing the 3-Tier Fallback Architecture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operational resilience, Project SHADOWGRAM deploys a 3-tier fallback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transitions between infrastructure tiers can expose integration seams if network latency budgets and exception handlers are not strictly enforced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Mode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Path &amp; Infrastructure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Latency Profile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Latent Failure Seam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&amp; Guardrail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1 (Primary)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 Distributed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Hotspot </w:t>
            </w:r>
            <w:r w:rsidDel="00000000" w:rsidR="00000000" w:rsidRPr="00000000">
              <w:rPr>
                <w:rFonts w:ascii="Google Sans" w:cs="Google Sans" w:eastAsia="Google Sans" w:hAnsi="Google Sans"/>
                <w:color w:val="1f1f1f"/>
              </w:rPr>
              <w:drawing>
                <wp:inline distB="19050" distT="19050" distL="19050" distR="19050">
                  <wp:extent cx="172720" cy="215900"/>
                  <wp:effectExtent b="0" l="0" r="0" t="0"/>
                  <wp:docPr id="68"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172720" cy="215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Cloud NVIDIA NIM (Llama-3.3-70B) </w:t>
            </w:r>
            <w:r w:rsidDel="00000000" w:rsidR="00000000" w:rsidRPr="00000000">
              <w:rPr>
                <w:rFonts w:ascii="Google Sans" w:cs="Google Sans" w:eastAsia="Google Sans" w:hAnsi="Google Sans"/>
                <w:color w:val="1f1f1f"/>
              </w:rPr>
              <w:drawing>
                <wp:inline distB="19050" distT="19050" distL="19050" distR="19050">
                  <wp:extent cx="172720" cy="215900"/>
                  <wp:effectExtent b="0" l="0" r="0" t="0"/>
                  <wp:docPr id="70"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172720" cy="215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ReportLab PDF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412081" cy="204649"/>
                  <wp:effectExtent b="0" l="0" r="0" t="0"/>
                  <wp:docPr id="72"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1412081" cy="20464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Cellular packet drop causes API call to hang indefinitely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1500ms asyncio.wait_for() timeout wrapping HTTP client.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2 (Local 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Offline Failover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personas_cache.json </w:t>
            </w:r>
            <w:r w:rsidDel="00000000" w:rsidR="00000000" w:rsidRPr="00000000">
              <w:rPr>
                <w:rFonts w:ascii="Google Sans" w:cs="Google Sans" w:eastAsia="Google Sans" w:hAnsi="Google Sans"/>
                <w:color w:val="1f1f1f"/>
              </w:rPr>
              <w:drawing>
                <wp:inline distB="19050" distT="19050" distL="19050" distR="19050">
                  <wp:extent cx="172720" cy="215900"/>
                  <wp:effectExtent b="0" l="0" r="0" t="0"/>
                  <wp:docPr id="74"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172720" cy="215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Pre-compiled ReportLab AST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10235" cy="203412"/>
                  <wp:effectExtent b="0" l="0" r="0" t="0"/>
                  <wp:docPr id="76"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610235" cy="20341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Cache payload schema mismatch with dynamic graph node 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Pre-build normalized ID mapping table during FastAPI initialization.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3 (Emergency)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Zero-Network In-Memory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Worker memory injection </w:t>
            </w:r>
            <w:r w:rsidDel="00000000" w:rsidR="00000000" w:rsidRPr="00000000">
              <w:rPr>
                <w:rFonts w:ascii="Google Sans" w:cs="Google Sans" w:eastAsia="Google Sans" w:hAnsi="Google Sans"/>
                <w:color w:val="1f1f1f"/>
              </w:rPr>
              <w:drawing>
                <wp:inline distB="19050" distT="19050" distL="19050" distR="19050">
                  <wp:extent cx="172720" cy="215900"/>
                  <wp:effectExtent b="0" l="0" r="0" t="0"/>
                  <wp:docPr id="77"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172720" cy="215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Local Three.js graph rendering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23875" cy="205441"/>
                  <wp:effectExtent b="0" l="0" r="0" t="0"/>
                  <wp:docPr id="78"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523875" cy="20544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Visible desynchronization between mock telemetry and backend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Bind Tier 3 trigger to a hidden double-tap shortcut, ensuring instant local graph execution.</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between Tier 1 and Tier 2 must occur without blocking the Uvicorn event loop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external cellular connection drops during the live demo, waiting for standard TCP timeouts (which can exceed 30 seconds) would disrupt the presentation. The FastAPI dispatch controller must enforce a non-blocking timeout: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Resilient Legal Dossier Generation Pipeline with Circuit-Breaker Fallback</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asyncio</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httpx</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fastapi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APIRouter</w:t>
        <w:br w:type="textWrapping"/>
        <w:br w:type="textWrapping"/>
        <w:t xml:space="preserve">router = APIRouter()</w:t>
        <w:br w:type="textWrapping"/>
        <w:br w:type="textWrapping"/>
        <w:t xml:space="preserve">NVIDIA_NIM_URL = </w:t>
      </w:r>
      <w:r w:rsidDel="00000000" w:rsidR="00000000" w:rsidRPr="00000000">
        <w:rPr>
          <w:rFonts w:ascii="Google Sans" w:cs="Google Sans" w:eastAsia="Google Sans" w:hAnsi="Google Sans"/>
          <w:i w:val="0"/>
          <w:iCs w:val="0"/>
          <w:color w:val="60d673"/>
          <w:sz w:val="20"/>
          <w:szCs w:val="20"/>
          <w:shd w:fill="141414" w:val="clear"/>
          <w:rtl w:val="0"/>
        </w:rPr>
        <w:t xml:space="preserve">"https://integrate.api.nvidia.com/v1/chat/completions"</w:t>
      </w:r>
      <w:r w:rsidDel="00000000" w:rsidR="00000000" w:rsidRPr="00000000">
        <w:rPr>
          <w:rFonts w:ascii="Google Sans" w:cs="Google Sans" w:eastAsia="Google Sans" w:hAnsi="Google Sans"/>
          <w:color w:val="1f1f1f"/>
          <w:shd w:fill="141414" w:val="clear"/>
          <w:rtl w:val="0"/>
        </w:rPr>
        <w:br w:type="textWrapping"/>
        <w:t xml:space="preserve">NVIDIA_TIMEOUT_SECONDS = </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@router.post(</w:t>
      </w:r>
      <w:r w:rsidDel="00000000" w:rsidR="00000000" w:rsidRPr="00000000">
        <w:rPr>
          <w:rFonts w:ascii="Google Sans" w:cs="Google Sans" w:eastAsia="Google Sans" w:hAnsi="Google Sans"/>
          <w:i w:val="0"/>
          <w:iCs w:val="0"/>
          <w:color w:val="60d673"/>
          <w:sz w:val="20"/>
          <w:szCs w:val="20"/>
          <w:shd w:fill="141414" w:val="clear"/>
          <w:rtl w:val="0"/>
        </w:rPr>
        <w:t xml:space="preserve">"/api/v1/generate-sar"</w:t>
      </w:r>
      <w:r w:rsidDel="00000000" w:rsidR="00000000" w:rsidRPr="00000000">
        <w:rPr>
          <w:rFonts w:ascii="Google Sans" w:cs="Google Sans" w:eastAsia="Google Sans" w:hAnsi="Google Sans"/>
          <w:i w:val="0"/>
          <w:iCs w:val="0"/>
          <w:color w:val="ff5a59"/>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generate_sar_report</w:t>
      </w:r>
      <w:r w:rsidDel="00000000" w:rsidR="00000000" w:rsidRPr="00000000">
        <w:rPr>
          <w:rFonts w:ascii="Google Sans" w:cs="Google Sans" w:eastAsia="Google Sans" w:hAnsi="Google Sans"/>
          <w:i w:val="0"/>
          <w:iCs w:val="0"/>
          <w:color w:val="ffffff"/>
          <w:sz w:val="20"/>
          <w:szCs w:val="20"/>
          <w:shd w:fill="141414" w:val="clear"/>
          <w:rtl w:val="0"/>
        </w:rPr>
        <w:t xml:space="preserve">(cluster_payload: </w:t>
      </w:r>
      <w:r w:rsidDel="00000000" w:rsidR="00000000" w:rsidRPr="00000000">
        <w:rPr>
          <w:rFonts w:ascii="Google Sans" w:cs="Google Sans" w:eastAsia="Google Sans" w:hAnsi="Google Sans"/>
          <w:i w:val="0"/>
          <w:iCs w:val="0"/>
          <w:color w:val="ff5a59"/>
          <w:sz w:val="20"/>
          <w:szCs w:val="20"/>
          <w:shd w:fill="141414" w:val="clear"/>
          <w:rtl w:val="0"/>
        </w:rPr>
        <w:t xml:space="preserve">dict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Tier 1: Cloud NVIDIA NIM LLM Processing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httpx.AsyncClient(timeout=NVIDIA_TIMEOUT_SECONDS)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client:</w:t>
        <w:br w:type="textWrapping"/>
        <w:t xml:space="preserve">            response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client.post(</w:t>
        <w:br w:type="textWrapping"/>
        <w:t xml:space="preserve">                NVIDIA_NIM_URL,</w:t>
        <w:br w:type="textWrapping"/>
        <w:t xml:space="preserve">                json={</w:t>
      </w:r>
      <w:r w:rsidDel="00000000" w:rsidR="00000000" w:rsidRPr="00000000">
        <w:rPr>
          <w:rFonts w:ascii="Google Sans" w:cs="Google Sans" w:eastAsia="Google Sans" w:hAnsi="Google Sans"/>
          <w:i w:val="0"/>
          <w:iCs w:val="0"/>
          <w:color w:val="60d673"/>
          <w:sz w:val="20"/>
          <w:szCs w:val="20"/>
          <w:shd w:fill="141414" w:val="clear"/>
          <w:rtl w:val="0"/>
        </w:rPr>
        <w:t xml:space="preserve">"model"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"meta/llama-3.3-70b-instruct"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"messages"</w:t>
      </w:r>
      <w:r w:rsidDel="00000000" w:rsidR="00000000" w:rsidRPr="00000000">
        <w:rPr>
          <w:rFonts w:ascii="Google Sans" w:cs="Google Sans" w:eastAsia="Google Sans" w:hAnsi="Google Sans"/>
          <w:color w:val="1f1f1f"/>
          <w:shd w:fill="141414" w:val="clear"/>
          <w:rtl w:val="0"/>
        </w:rPr>
        <w:t xml:space="preserve">: [...]},</w:t>
        <w:br w:type="textWrapping"/>
        <w:t xml:space="preserve">                headers={</w:t>
      </w:r>
      <w:r w:rsidDel="00000000" w:rsidR="00000000" w:rsidRPr="00000000">
        <w:rPr>
          <w:rFonts w:ascii="Google Sans" w:cs="Google Sans" w:eastAsia="Google Sans" w:hAnsi="Google Sans"/>
          <w:i w:val="0"/>
          <w:iCs w:val="0"/>
          <w:color w:val="60d673"/>
          <w:sz w:val="20"/>
          <w:szCs w:val="20"/>
          <w:shd w:fill="141414" w:val="clear"/>
          <w:rtl w:val="0"/>
        </w:rPr>
        <w:t xml:space="preserve">"Authorization"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"Bearer nvapi-prod-live-key"</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response.status_code == </w:t>
      </w:r>
      <w:r w:rsidDel="00000000" w:rsidR="00000000" w:rsidRPr="00000000">
        <w:rPr>
          <w:rFonts w:ascii="Google Sans" w:cs="Google Sans" w:eastAsia="Google Sans" w:hAnsi="Google Sans"/>
          <w:i w:val="0"/>
          <w:iCs w:val="0"/>
          <w:color w:val="ff96da"/>
          <w:sz w:val="20"/>
          <w:szCs w:val="20"/>
          <w:shd w:fill="141414" w:val="clear"/>
          <w:rtl w:val="0"/>
        </w:rPr>
        <w:t xml:space="preserve">200</w:t>
      </w:r>
      <w:r w:rsidDel="00000000" w:rsidR="00000000" w:rsidRPr="00000000">
        <w:rPr>
          <w:rFonts w:ascii="Google Sans" w:cs="Google Sans" w:eastAsia="Google Sans" w:hAnsi="Google Sans"/>
          <w:color w:val="1f1f1f"/>
          <w:shd w:fill="141414" w:val="clear"/>
          <w:rtl w:val="0"/>
        </w:rPr>
        <w:t xml:space="preserve">:</w:t>
        <w:br w:type="textWrapping"/>
        <w:t xml:space="preserve">                legal_analysis = response.json()[</w:t>
      </w:r>
      <w:r w:rsidDel="00000000" w:rsidR="00000000" w:rsidRPr="00000000">
        <w:rPr>
          <w:rFonts w:ascii="Google Sans" w:cs="Google Sans" w:eastAsia="Google Sans" w:hAnsi="Google Sans"/>
          <w:i w:val="0"/>
          <w:iCs w:val="0"/>
          <w:color w:val="60d673"/>
          <w:sz w:val="20"/>
          <w:szCs w:val="20"/>
          <w:shd w:fill="141414" w:val="clear"/>
          <w:rtl w:val="0"/>
        </w:rPr>
        <w:t xml:space="preserve">'choices'</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'message'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compile_pdf_reportlab(cluster_payload, legal_analysis, tier_source=</w:t>
      </w:r>
      <w:r w:rsidDel="00000000" w:rsidR="00000000" w:rsidRPr="00000000">
        <w:rPr>
          <w:rFonts w:ascii="Google Sans" w:cs="Google Sans" w:eastAsia="Google Sans" w:hAnsi="Google Sans"/>
          <w:i w:val="0"/>
          <w:iCs w:val="0"/>
          <w:color w:val="60d673"/>
          <w:sz w:val="20"/>
          <w:szCs w:val="20"/>
          <w:shd w:fill="141414" w:val="clear"/>
          <w:rtl w:val="0"/>
        </w:rPr>
        <w:t xml:space="preserve">"TIER_1_CLOUD_NIM"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(httpx.TimeoutException, httpx.NetworkError):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Gracefully fall through to edge processing</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Tier 2: Local Pre-Cached Legal Translation Engine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legal_analysis = load_cached_legal_matrix(cluster_payload[</w:t>
      </w:r>
      <w:r w:rsidDel="00000000" w:rsidR="00000000" w:rsidRPr="00000000">
        <w:rPr>
          <w:rFonts w:ascii="Google Sans" w:cs="Google Sans" w:eastAsia="Google Sans" w:hAnsi="Google Sans"/>
          <w:i w:val="0"/>
          <w:iCs w:val="0"/>
          <w:color w:val="60d673"/>
          <w:sz w:val="20"/>
          <w:szCs w:val="20"/>
          <w:shd w:fill="141414" w:val="clear"/>
          <w:rtl w:val="0"/>
        </w:rPr>
        <w:t xml:space="preserve">'heuristic_fingerprint'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compile_pdf_reportlab(cluster_payload, legal_analysis, tier_source=</w:t>
      </w:r>
      <w:r w:rsidDel="00000000" w:rsidR="00000000" w:rsidRPr="00000000">
        <w:rPr>
          <w:rFonts w:ascii="Google Sans" w:cs="Google Sans" w:eastAsia="Google Sans" w:hAnsi="Google Sans"/>
          <w:i w:val="0"/>
          <w:iCs w:val="0"/>
          <w:color w:val="60d673"/>
          <w:sz w:val="20"/>
          <w:szCs w:val="20"/>
          <w:shd w:fill="141414" w:val="clear"/>
          <w:rtl w:val="0"/>
        </w:rPr>
        <w:t xml:space="preserve">"TIER_2_LOCAL_EDGE"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Exception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Tier 3: Emergency Internal Static Dossier AST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compile_emergency_embedded_pdf(cluster_payload)</w:t>
        <w:br w:type="textWrapping"/>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Judge Psychology and "The Golden Touch" Interaction</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Interaction Failure Modes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Handing control of a physical testing station to a live hackathon judge during a time-constrained 180-second pitch introduces variables that can undermine presentation timing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Judges operate under sustained cognitive fatigue, having evaluated dozens of teams. If subjected to unnecessary operational friction, their reaction can shift from curiosity to skepticism.</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Evaluators commonly exhibit distinct behavioral failure modes when prompted to interact directly with hardware:</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reluctant evaluator declines to type authentic personal identification details on an unfamiliar, unauthenticated laptop due to privacy concerns.</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erratic operator intentionally introduces artificial typing pauses or irregular mouse movements in an attempt to trigger edge-case behavioral flags.</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deliberate applicant methodically reads every form label and types full paragraphs into input fields, consuming ninety seconds of the team's presentation window.</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accidental misdirector clicks navigation elements outside the testing flow or triggers client-side validation errors, stalling the live demonstration pipeline.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Fail-Safe Interaction Choreography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eliminate these human failure modes while preserving user agency, the physical interface on Station 3 must be staged as an active application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form must be pre-populated with realistic, valid synthetic data, leaving only a single open, interactive field for the judge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 Input 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Staged Visual Value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Operational State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&amp; Guardrail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Applicant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 V. Ramanathan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Locked / Pre-Verified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hesitation regarding personal data entry.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Government PAN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ABCDE1234F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Locked / Pre-Verified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Satisfies structural validation without manual input.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Requested Capital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 (Instant)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Locked / Pre-Selected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Enforces loan amount parity with the bot swarm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Loan Justification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Type 3 words here...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Interactive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Limits typing to under 5 seconds while capturing motor dynamics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Disbursement CTA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&gt;&gt; APPLY NOW &lt;&lt;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Armed High-Contrast Button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 conversion triggering instantaneous node rendering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isolating the judge's interaction to typing three words and clicking a primary action button, physical input time is constrained to under six seconds, while successfully capturing genuine neuromuscular motor dynamics and keyboard flight-time profiles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180-Second Live Pitch Choreography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team's presentation must follow a tightly coordinated timeline, aligning spoken narrative, physical actions across all four laptops, and visual cues on the main display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Pitch Phase &amp; Elapsed Time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Station Lead &amp; Presenter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 Stage Choreography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Spoken Narrative &amp; Master Script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 The Threat Hook</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 – 0:35)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Pete (Lead Architect)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Laptop 2 &amp; Audience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 3D Galaxy (Laptop 2) displays calm cyan stars drifting quietly. Pete addresses judges with absolute command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"Judges, in 2026, financial fraud has evolved from simple scripts into autonomous multi-agent AI swarms. Each bot uses a unique synthetic identity, clean residential IP, and LLM 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Legacy security checks each account in isolation and approves them all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ShadowGram solves this by evaluating relational interaction topology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 Live Swarm Strike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(0:35 – 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Aiswarya &amp; Alan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Laptops 1 &amp;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Aiswarya turns Laptop 3 to the center judge, pointing to the active field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judge types, Alan launches 20 Playwright bots on Laptop 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Aiswarya: "Judge, take this keyboard. Type three words explaining why you need the loan, and hit Apply."</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Alan: "Launching 20 parallel Chromium agents across our local range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Twenty distinct identities hit the endpoint simultaneously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 Topology Isolation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 – 1:55)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Aiswarya &amp; Pete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Laptop 2 (Cockpit)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laser edges connect the bots in 3D 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judge's node glows isolated cyan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Aiswarya opens the Why Card modal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Aiswarya: "Look at Laptop 2. Look at your node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Pete: "Your session glows calm cyan, completely isolated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20 attacking bots have locked into a red web, matching across arrival timing, routing, and zero-jerk acceleration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 mathematically isolate the syndicate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4: Legal Execution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(1:55 – 3:00)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Nihad &amp; Pete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Laptops 4 &amp;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Nihad clicks [ 1-Click Quarantine ]; shockwave drops and nodes turn gray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Nihad exports the 2-page SAR dossier PDF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Nihad: "One click. The entire Louvain cluster is quarantined with zero collateral impact on the judge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Exporting the SAR dossier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Pete: "Zero Docker. Zero paid APIs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 intercepted 20 synthetic agents at Step 2, saving over ₹1 Crore in verification drain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We welcome your questions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and Algorithmic Defense Audit</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of the 5-Layer Interaction Physics Model</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SHADOWGRAM calculates an edge between sessions </w:t>
      </w:r>
      <w:r w:rsidDel="00000000" w:rsidR="00000000" w:rsidRPr="00000000">
        <w:rPr>
          <w:rFonts w:ascii="Google Sans" w:cs="Google Sans" w:eastAsia="Google Sans" w:hAnsi="Google Sans"/>
          <w:color w:val="1f1f1f"/>
        </w:rPr>
        <w:drawing>
          <wp:inline distB="19050" distT="19050" distL="19050" distR="19050">
            <wp:extent cx="112078" cy="244533"/>
            <wp:effectExtent b="0" l="0" r="0" t="0"/>
            <wp:docPr id="79"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112078" cy="244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02077" cy="244984"/>
            <wp:effectExtent b="0" l="0" r="0" t="0"/>
            <wp:docPr id="33" name="image57.png"/>
            <a:graphic>
              <a:graphicData uri="http://schemas.openxmlformats.org/drawingml/2006/picture">
                <pic:pic>
                  <pic:nvPicPr>
                    <pic:cNvPr id="0" name="image57.png"/>
                    <pic:cNvPicPr preferRelativeResize="0"/>
                  </pic:nvPicPr>
                  <pic:blipFill>
                    <a:blip r:embed="rId22"/>
                    <a:srcRect b="0" l="0" r="0" t="0"/>
                    <a:stretch>
                      <a:fillRect/>
                    </a:stretch>
                  </pic:blipFill>
                  <pic:spPr>
                    <a:xfrm>
                      <a:off x="0" y="0"/>
                      <a:ext cx="102077" cy="244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their composite similarity </w:t>
      </w:r>
      <w:r w:rsidDel="00000000" w:rsidR="00000000" w:rsidRPr="00000000">
        <w:rPr>
          <w:rFonts w:ascii="Google Sans" w:cs="Google Sans" w:eastAsia="Google Sans" w:hAnsi="Google Sans"/>
          <w:color w:val="1f1f1f"/>
        </w:rPr>
        <w:drawing>
          <wp:inline distB="19050" distT="19050" distL="19050" distR="19050">
            <wp:extent cx="1512094" cy="243559"/>
            <wp:effectExtent b="0" l="0" r="0" t="0"/>
            <wp:docPr id="35"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1512094" cy="243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at least three distinct physics layers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6709"/>
            <wp:effectExtent b="0" l="0" r="0" t="0"/>
            <wp:docPr id="37"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905500" cy="456709"/>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extracts non-PII telemetry events over WebSockets, buffering them in 50-millisecond windows before passing them through the five analytical layers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resulting scores are combined via a composite gating engine: an edge is added to the in-memory graph only if the composite score meets or exceeds 0.78 and at least three layers independently confirm similarity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these conditions are met, the graph adjacency matrix updates dynamically; otherwise, the sessions remain unlinked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layer monitors an independent dimension of the interaction space, but evaluating the model against sophisticated adversaries reveals specific vulnerabilities, bypass strategies, and mathematical edge cases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Physics Layer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Formulation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Evasion Strategy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Robustness Defense &amp; Guardrail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Layer 1: Temporal Rhythm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96081" cy="243742"/>
                  <wp:effectExtent b="0" l="0" r="0" t="0"/>
                  <wp:docPr id="3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96081" cy="2437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Inter-arrival delta </w:t>
            </w:r>
            <w:r w:rsidDel="00000000" w:rsidR="00000000" w:rsidRPr="00000000">
              <w:rPr>
                <w:rFonts w:ascii="Google Sans" w:cs="Google Sans" w:eastAsia="Google Sans" w:hAnsi="Google Sans"/>
                <w:color w:val="1f1f1f"/>
              </w:rPr>
              <w:drawing>
                <wp:inline distB="19050" distT="19050" distL="19050" distR="19050">
                  <wp:extent cx="1094584" cy="214825"/>
                  <wp:effectExtent b="0" l="0" r="0" t="0"/>
                  <wp:docPr id="41"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1094584" cy="2148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flagged if </w:t>
            </w:r>
            <w:r w:rsidDel="00000000" w:rsidR="00000000" w:rsidRPr="00000000">
              <w:rPr>
                <w:rFonts w:ascii="Google Sans" w:cs="Google Sans" w:eastAsia="Google Sans" w:hAnsi="Google Sans"/>
                <w:color w:val="1f1f1f"/>
              </w:rPr>
              <w:drawing>
                <wp:inline distB="19050" distT="19050" distL="19050" distR="19050">
                  <wp:extent cx="864553" cy="213595"/>
                  <wp:effectExtent b="0" l="0" r="0" t="0"/>
                  <wp:docPr id="43"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864553" cy="213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weighted via </w:t>
            </w:r>
            <w:r w:rsidDel="00000000" w:rsidR="00000000" w:rsidRPr="00000000">
              <w:rPr>
                <w:rFonts w:ascii="Google Sans" w:cs="Google Sans" w:eastAsia="Google Sans" w:hAnsi="Google Sans"/>
                <w:color w:val="1f1f1f"/>
              </w:rPr>
              <w:drawing>
                <wp:inline distB="19050" distT="19050" distL="19050" distR="19050">
                  <wp:extent cx="978694" cy="214089"/>
                  <wp:effectExtent b="0" l="0" r="0" t="0"/>
                  <wp:docPr id="45"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978694" cy="21408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Attacker injects randomized sleep intervals (</w:t>
            </w:r>
            <w:r w:rsidDel="00000000" w:rsidR="00000000" w:rsidRPr="00000000">
              <w:rPr>
                <w:rFonts w:ascii="Google Sans" w:cs="Google Sans" w:eastAsia="Google Sans" w:hAnsi="Google Sans"/>
                <w:color w:val="1f1f1f"/>
              </w:rPr>
              <w:drawing>
                <wp:inline distB="19050" distT="19050" distL="19050" distR="19050">
                  <wp:extent cx="977103" cy="213741"/>
                  <wp:effectExtent b="0" l="0" r="0" t="0"/>
                  <wp:docPr id="46"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977103" cy="213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emulate Poisson arrivals.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Coordinated balance extraction cannot tolerate multi-hour delays without exposing the syndicate to credit bureau updates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Layer 2: Navigation FSM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6869" cy="252268"/>
                  <wp:effectExtent b="0" l="0" r="0" t="0"/>
                  <wp:docPr id="47"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346869" cy="2522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Longest Common Subsequence: </w:t>
            </w:r>
            <w:r w:rsidDel="00000000" w:rsidR="00000000" w:rsidRPr="00000000">
              <w:rPr>
                <w:rFonts w:ascii="Google Sans" w:cs="Google Sans" w:eastAsia="Google Sans" w:hAnsi="Google Sans"/>
                <w:color w:val="1f1f1f"/>
              </w:rPr>
              <w:drawing>
                <wp:inline distB="19050" distT="19050" distL="19050" distR="19050">
                  <wp:extent cx="1419387" cy="265497"/>
                  <wp:effectExtent b="0" l="0" r="0" t="0"/>
                  <wp:docPr id="48"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1419387" cy="2654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DOM route paths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Attacker injects stochastic dummy routes (e.g., navigating to /faq or oscillating form fields).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lending funnels require an invariant conversion order (/auth </w:t>
            </w:r>
            <w:r w:rsidDel="00000000" w:rsidR="00000000" w:rsidRPr="00000000">
              <w:rPr>
                <w:rFonts w:ascii="Google Sans" w:cs="Google Sans" w:eastAsia="Google Sans" w:hAnsi="Google Sans"/>
                <w:color w:val="1f1f1f"/>
              </w:rPr>
              <w:drawing>
                <wp:inline distB="19050" distT="19050" distL="19050" distR="19050">
                  <wp:extent cx="172720" cy="215900"/>
                  <wp:effectExtent b="0" l="0" r="0" t="0"/>
                  <wp:docPr id="13"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172720" cy="215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/kyc </w:t>
            </w:r>
            <w:r w:rsidDel="00000000" w:rsidR="00000000" w:rsidRPr="00000000">
              <w:rPr>
                <w:rFonts w:ascii="Google Sans" w:cs="Google Sans" w:eastAsia="Google Sans" w:hAnsi="Google Sans"/>
                <w:color w:val="1f1f1f"/>
              </w:rPr>
              <w:drawing>
                <wp:inline distB="19050" distT="19050" distL="19050" distR="19050">
                  <wp:extent cx="172720" cy="215900"/>
                  <wp:effectExtent b="0" l="0" r="0" t="0"/>
                  <wp:docPr id="15"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172720" cy="215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/disburse), bounding route entropy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Layer 3: Kinetic Biometrics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79242" cy="217188"/>
                  <wp:effectExtent b="0" l="0" r="0" t="0"/>
                  <wp:docPr id="17"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79242" cy="2171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128x128 STFT spectrogram evaluated by 2D-CNN in ONNX; detects 8–12 Hz tremor and jerk </w:t>
            </w:r>
            <w:r w:rsidDel="00000000" w:rsidR="00000000" w:rsidRPr="00000000">
              <w:rPr>
                <w:rFonts w:ascii="Google Sans" w:cs="Google Sans" w:eastAsia="Google Sans" w:hAnsi="Google Sans"/>
                <w:color w:val="1f1f1f"/>
              </w:rPr>
              <w:drawing>
                <wp:inline distB="19050" distT="19050" distL="19050" distR="19050">
                  <wp:extent cx="614203" cy="276392"/>
                  <wp:effectExtent b="0" l="0" r="0" t="0"/>
                  <wp:docPr id="19"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614203" cy="27639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Attacker utilizes cubic Bézier curves (e.g., ghost-cursor) or injects synthetic 10 Hz sine waves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2D-CNN evaluates phase coupling between acceleration and velocity; synthetic noise introduces detectable harmonic artifacts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Layer 4: Semantic Vectors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16706" cy="221694"/>
                  <wp:effectExtent b="0" l="0" r="0" t="0"/>
                  <wp:docPr id="21"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316706" cy="2216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Cosine similarity: </w:t>
            </w:r>
            <w:r w:rsidDel="00000000" w:rsidR="00000000" w:rsidRPr="00000000">
              <w:rPr>
                <w:rFonts w:ascii="Google Sans" w:cs="Google Sans" w:eastAsia="Google Sans" w:hAnsi="Google Sans"/>
                <w:color w:val="1f1f1f"/>
              </w:rPr>
              <w:drawing>
                <wp:inline distB="19050" distT="19050" distL="19050" distR="19050">
                  <wp:extent cx="1059971" cy="234417"/>
                  <wp:effectExtent b="0" l="0" r="0" t="0"/>
                  <wp:docPr id="23"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1059971" cy="234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384-dim embeddings (all-MiniLM-L6-v2)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LLMs generate lexically diverse loan reasons across varying styles and lengths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Syndicated loan requests share underlying economic intent, causing embeddings to cluster tightly in hyperspherical space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Layer 5: Hardware Entropy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99402" cy="216808"/>
                  <wp:effectExtent b="0" l="0" r="0" t="0"/>
                  <wp:docPr id="24"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299402" cy="216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Canvas 2D/3D render hashes, AudioContext oscillator decay curves, and system clock drift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Headless stealth suites randomize canvas pixels and audio sample buffers per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Purely random entropy breaks known commercial hardware signatures, flagging the profile during baseline validation.</w:t>
            </w:r>
          </w:p>
        </w:tc>
      </w:tr>
    </w:tbl>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Modularity Maximization and the Fortunato-Barthélemy Resolution Limit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SHADOWGRAM partitions the dynamic interaction graph using the Newman-Girvan Louvain Modularity algorithm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1407"/>
            <wp:effectExtent b="0" l="0" r="0" t="0"/>
            <wp:docPr id="25"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5905500" cy="691407"/>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68129" cy="247503"/>
            <wp:effectExtent b="0" l="0" r="0" t="0"/>
            <wp:docPr id="26"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268129" cy="247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edge weight between sessions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27"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1757" cy="244687"/>
            <wp:effectExtent b="0" l="0" r="0" t="0"/>
            <wp:docPr id="1"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91757" cy="2446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01554" cy="245278"/>
            <wp:effectExtent b="0" l="0" r="0" t="0"/>
            <wp:docPr id="2"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1001554" cy="2452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degree of node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3"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209837" cy="244001"/>
            <wp:effectExtent b="0" l="0" r="0" t="0"/>
            <wp:docPr id="4"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1209837" cy="2440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total edge weight, and </w:t>
      </w:r>
      <w:r w:rsidDel="00000000" w:rsidR="00000000" w:rsidRPr="00000000">
        <w:rPr>
          <w:rFonts w:ascii="Google Sans" w:cs="Google Sans" w:eastAsia="Google Sans" w:hAnsi="Google Sans"/>
          <w:color w:val="1f1f1f"/>
        </w:rPr>
        <w:drawing>
          <wp:inline distB="19050" distT="19050" distL="19050" distR="19050">
            <wp:extent cx="993143" cy="245726"/>
            <wp:effectExtent b="0" l="0" r="0" t="0"/>
            <wp:docPr id="5"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993143" cy="2457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nodes belong to the same community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Clusters exhibiting </w:t>
      </w:r>
      <w:r w:rsidDel="00000000" w:rsidR="00000000" w:rsidRPr="00000000">
        <w:rPr>
          <w:rFonts w:ascii="Google Sans" w:cs="Google Sans" w:eastAsia="Google Sans" w:hAnsi="Google Sans"/>
          <w:color w:val="1f1f1f"/>
        </w:rPr>
        <w:drawing>
          <wp:inline distB="19050" distT="19050" distL="19050" distR="19050">
            <wp:extent cx="764064" cy="2445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64064" cy="244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node count </w:t>
      </w:r>
      <w:r w:rsidDel="00000000" w:rsidR="00000000" w:rsidRPr="00000000">
        <w:rPr>
          <w:rFonts w:ascii="Google Sans" w:cs="Google Sans" w:eastAsia="Google Sans" w:hAnsi="Google Sans"/>
          <w:color w:val="1f1f1f"/>
        </w:rPr>
        <w:drawing>
          <wp:inline distB="19050" distT="19050" distL="19050" distR="19050">
            <wp:extent cx="537527" cy="248089"/>
            <wp:effectExtent b="0" l="0" r="0" t="0"/>
            <wp:docPr id="7"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37527" cy="2480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flagged as coordinated syndicates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sophisticated evaluator may challenge this algorithmic choice based on the classical Resolution Limit of Modularity Maximization established by Santo Fortunato and Marc Barthélemy (2007)</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Fortunato and Barthélemy proved that modularity optimization fails to resolve communities that fall below a characteristic size scale: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4318"/>
            <wp:effectExtent b="0" l="0" r="0" t="0"/>
            <wp:docPr id="8"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905500" cy="634318"/>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33350" cy="246185"/>
            <wp:effectExtent b="0" l="0" r="0" t="0"/>
            <wp:docPr id="9"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133350" cy="2461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211931" cy="254317"/>
            <wp:effectExtent b="0" l="0" r="0" t="0"/>
            <wp:docPr id="10"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211931" cy="2543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total edge count (or weight) of the global network, and </w:t>
      </w:r>
      <w:r w:rsidDel="00000000" w:rsidR="00000000" w:rsidRPr="00000000">
        <w:rPr>
          <w:rFonts w:ascii="Google Sans" w:cs="Google Sans" w:eastAsia="Google Sans" w:hAnsi="Google Sans"/>
          <w:color w:val="1f1f1f"/>
        </w:rPr>
        <w:drawing>
          <wp:inline distB="19050" distT="19050" distL="19050" distR="19050">
            <wp:extent cx="79534" cy="272687"/>
            <wp:effectExtent b="0" l="0" r="0" t="0"/>
            <wp:docPr id="55" name="image45.png"/>
            <a:graphic>
              <a:graphicData uri="http://schemas.openxmlformats.org/drawingml/2006/picture">
                <pic:pic>
                  <pic:nvPicPr>
                    <pic:cNvPr id="0" name="image45.png"/>
                    <pic:cNvPicPr preferRelativeResize="0"/>
                  </pic:nvPicPr>
                  <pic:blipFill>
                    <a:blip r:embed="rId48"/>
                    <a:srcRect b="0" l="0" r="0" t="0"/>
                    <a:stretch>
                      <a:fillRect/>
                    </a:stretch>
                  </pic:blipFill>
                  <pic:spPr>
                    <a:xfrm>
                      <a:off x="0" y="0"/>
                      <a:ext cx="79534" cy="2726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inter-community edge weights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 an enterprise bank processing millions of transactions, a coordinated 20-bot attack would have internal edge weight orders of magnitude smaller than </w:t>
      </w:r>
      <w:r w:rsidDel="00000000" w:rsidR="00000000" w:rsidRPr="00000000">
        <w:rPr>
          <w:rFonts w:ascii="Google Sans" w:cs="Google Sans" w:eastAsia="Google Sans" w:hAnsi="Google Sans"/>
          <w:color w:val="1f1f1f"/>
        </w:rPr>
        <w:drawing>
          <wp:inline distB="19050" distT="19050" distL="19050" distR="19050">
            <wp:extent cx="603726" cy="255816"/>
            <wp:effectExtent b="0" l="0" r="0" t="0"/>
            <wp:docPr id="58" name="image44.png"/>
            <a:graphic>
              <a:graphicData uri="http://schemas.openxmlformats.org/drawingml/2006/picture">
                <pic:pic>
                  <pic:nvPicPr>
                    <pic:cNvPr id="0" name="image44.png"/>
                    <pic:cNvPicPr preferRelativeResize="0"/>
                  </pic:nvPicPr>
                  <pic:blipFill>
                    <a:blip r:embed="rId49"/>
                    <a:srcRect b="0" l="0" r="0" t="0"/>
                    <a:stretch>
                      <a:fillRect/>
                    </a:stretch>
                  </pic:blipFill>
                  <pic:spPr>
                    <a:xfrm>
                      <a:off x="0" y="0"/>
                      <a:ext cx="603726" cy="2558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Consequently, standard modularity maximization would merge small, distinct fraud syndicates into massive macro-clusters or absorb them into benign background noise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defend the architecture against this critique, the team must articulate three specific design choices: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ShadowGram does not run Louvain over the bank's entire historical graph. The engine operates on an in-memory sliding temporal buffer (</w:t>
      </w:r>
      <w:r w:rsidDel="00000000" w:rsidR="00000000" w:rsidRPr="00000000">
        <w:rPr>
          <w:rFonts w:ascii="Google Sans" w:cs="Google Sans" w:eastAsia="Google Sans" w:hAnsi="Google Sans"/>
          <w:color w:val="1f1f1f"/>
        </w:rPr>
        <w:drawing>
          <wp:inline distB="19050" distT="19050" distL="19050" distR="19050">
            <wp:extent cx="1291114" cy="243990"/>
            <wp:effectExtent b="0" l="0" r="0" t="0"/>
            <wp:docPr id="59"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1291114" cy="2439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93268" cy="245325"/>
            <wp:effectExtent b="0" l="0" r="0" t="0"/>
            <wp:docPr id="61"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1993268" cy="245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this bounded window, </w:t>
      </w:r>
      <w:r w:rsidDel="00000000" w:rsidR="00000000" w:rsidRPr="00000000">
        <w:rPr>
          <w:rFonts w:ascii="Google Sans" w:cs="Google Sans" w:eastAsia="Google Sans" w:hAnsi="Google Sans"/>
          <w:color w:val="1f1f1f"/>
        </w:rPr>
        <w:drawing>
          <wp:inline distB="19050" distT="19050" distL="19050" distR="19050">
            <wp:extent cx="211931" cy="254317"/>
            <wp:effectExtent b="0" l="0" r="0" t="0"/>
            <wp:docPr id="64"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211931" cy="2543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remains small (</w:t>
      </w:r>
      <w:r w:rsidDel="00000000" w:rsidR="00000000" w:rsidRPr="00000000">
        <w:rPr>
          <w:rFonts w:ascii="Google Sans" w:cs="Google Sans" w:eastAsia="Google Sans" w:hAnsi="Google Sans"/>
          <w:color w:val="1f1f1f"/>
        </w:rPr>
        <w:drawing>
          <wp:inline distB="19050" distT="19050" distL="19050" distR="19050">
            <wp:extent cx="747077" cy="245614"/>
            <wp:effectExtent b="0" l="0" r="0" t="0"/>
            <wp:docPr id="66" name="image40.png"/>
            <a:graphic>
              <a:graphicData uri="http://schemas.openxmlformats.org/drawingml/2006/picture">
                <pic:pic>
                  <pic:nvPicPr>
                    <pic:cNvPr id="0" name="image40.png"/>
                    <pic:cNvPicPr preferRelativeResize="0"/>
                  </pic:nvPicPr>
                  <pic:blipFill>
                    <a:blip r:embed="rId52"/>
                    <a:srcRect b="0" l="0" r="0" t="0"/>
                    <a:stretch>
                      <a:fillRect/>
                    </a:stretch>
                  </pic:blipFill>
                  <pic:spPr>
                    <a:xfrm>
                      <a:off x="0" y="0"/>
                      <a:ext cx="747077" cy="2456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maintaining the resolution limit well below the minimum syndicate threshold (</w:t>
      </w:r>
      <w:r w:rsidDel="00000000" w:rsidR="00000000" w:rsidRPr="00000000">
        <w:rPr>
          <w:rFonts w:ascii="Google Sans" w:cs="Google Sans" w:eastAsia="Google Sans" w:hAnsi="Google Sans"/>
          <w:color w:val="1f1f1f"/>
        </w:rPr>
        <w:drawing>
          <wp:inline distB="19050" distT="19050" distL="19050" distR="19050">
            <wp:extent cx="678815" cy="236557"/>
            <wp:effectExtent b="0" l="0" r="0" t="0"/>
            <wp:docPr id="69"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678815" cy="2365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in the Fortunato-Barthélemy model, resolution failures occur when inter-community connections exist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ShadowGram's three-layer gating rule (</w:t>
      </w:r>
      <w:r w:rsidDel="00000000" w:rsidR="00000000" w:rsidRPr="00000000">
        <w:rPr>
          <w:rFonts w:ascii="Google Sans" w:cs="Google Sans" w:eastAsia="Google Sans" w:hAnsi="Google Sans"/>
          <w:color w:val="1f1f1f"/>
        </w:rPr>
        <w:drawing>
          <wp:inline distB="19050" distT="19050" distL="19050" distR="19050">
            <wp:extent cx="1058542" cy="244279"/>
            <wp:effectExtent b="0" l="0" r="0" t="0"/>
            <wp:docPr id="71"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1058542" cy="244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acts as a strict sparsification filter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Independent, genuine users share zero edges with the bot swarm. Because inter-community connectivity is zero (</w:t>
      </w:r>
      <w:r w:rsidDel="00000000" w:rsidR="00000000" w:rsidRPr="00000000">
        <w:rPr>
          <w:rFonts w:ascii="Google Sans" w:cs="Google Sans" w:eastAsia="Google Sans" w:hAnsi="Google Sans"/>
          <w:color w:val="1f1f1f"/>
        </w:rPr>
        <w:drawing>
          <wp:inline distB="19050" distT="19050" distL="19050" distR="19050">
            <wp:extent cx="438467" cy="244726"/>
            <wp:effectExtent b="0" l="0" r="0" t="0"/>
            <wp:docPr id="73" name="image51.png"/>
            <a:graphic>
              <a:graphicData uri="http://schemas.openxmlformats.org/drawingml/2006/picture">
                <pic:pic>
                  <pic:nvPicPr>
                    <pic:cNvPr id="0" name="image51.png"/>
                    <pic:cNvPicPr preferRelativeResize="0"/>
                  </pic:nvPicPr>
                  <pic:blipFill>
                    <a:blip r:embed="rId54"/>
                    <a:srcRect b="0" l="0" r="0" t="0"/>
                    <a:stretch>
                      <a:fillRect/>
                    </a:stretch>
                  </pic:blipFill>
                  <pic:spPr>
                    <a:xfrm>
                      <a:off x="0" y="0"/>
                      <a:ext cx="438467" cy="2447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theoretical resolution limit collapses, allowing independent sub-clusters to be isolated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when compared to alternative clustering paradigms, Louvain provides clear operational advantages:</w:t>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Density-Based Spatial Clustering of Applications with Noise (DBSCAN) requires projecting multi-dimensional relational attributes into an arbitrary metric space (</w:t>
      </w:r>
      <w:r w:rsidDel="00000000" w:rsidR="00000000" w:rsidRPr="00000000">
        <w:rPr>
          <w:rFonts w:ascii="Google Sans" w:cs="Google Sans" w:eastAsia="Google Sans" w:hAnsi="Google Sans"/>
          <w:color w:val="1f1f1f"/>
        </w:rPr>
        <w:drawing>
          <wp:inline distB="19050" distT="19050" distL="19050" distR="19050">
            <wp:extent cx="222409" cy="243591"/>
            <wp:effectExtent b="0" l="0" r="0" t="0"/>
            <wp:docPr id="75" name="image53.png"/>
            <a:graphic>
              <a:graphicData uri="http://schemas.openxmlformats.org/drawingml/2006/picture">
                <pic:pic>
                  <pic:nvPicPr>
                    <pic:cNvPr id="0" name="image53.png"/>
                    <pic:cNvPicPr preferRelativeResize="0"/>
                  </pic:nvPicPr>
                  <pic:blipFill>
                    <a:blip r:embed="rId55"/>
                    <a:srcRect b="0" l="0" r="0" t="0"/>
                    <a:stretch>
                      <a:fillRect/>
                    </a:stretch>
                  </pic:blipFill>
                  <pic:spPr>
                    <a:xfrm>
                      <a:off x="0" y="0"/>
                      <a:ext cx="222409" cy="2435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distance metrics break down due to high-dimensional sparsity. Furthermore, DBSCAN requires a global density parameter (</w:t>
      </w:r>
      <w:r w:rsidDel="00000000" w:rsidR="00000000" w:rsidRPr="00000000">
        <w:rPr>
          <w:rFonts w:ascii="Google Sans" w:cs="Google Sans" w:eastAsia="Google Sans" w:hAnsi="Google Sans"/>
          <w:color w:val="1f1f1f"/>
        </w:rPr>
        <w:drawing>
          <wp:inline distB="19050" distT="19050" distL="19050" distR="19050">
            <wp:extent cx="91281" cy="243417"/>
            <wp:effectExtent b="0" l="0" r="0" t="0"/>
            <wp:docPr id="54" name="image36.png"/>
            <a:graphic>
              <a:graphicData uri="http://schemas.openxmlformats.org/drawingml/2006/picture">
                <pic:pic>
                  <pic:nvPicPr>
                    <pic:cNvPr id="0" name="image36.png"/>
                    <pic:cNvPicPr preferRelativeResize="0"/>
                  </pic:nvPicPr>
                  <pic:blipFill>
                    <a:blip r:embed="rId56"/>
                    <a:srcRect b="0" l="0" r="0" t="0"/>
                    <a:stretch>
                      <a:fillRect/>
                    </a:stretch>
                  </pic:blipFill>
                  <pic:spPr>
                    <a:xfrm>
                      <a:off x="0" y="0"/>
                      <a:ext cx="91281" cy="243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fails when different attack swarms exhibit variable connectivity densities.</w:t>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Inductive Graph Neural Network (GNN) architectures (such as GraphSAGE) require high-latency message passing, dedicated GPU infrastructure, and extensive labeled training sets. GNN forward-pass inference introduces 150 to 400 milliseconds of latency per graph snapshot, failing real-time requirements.</w:t>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 contrast, Louvain runs in </w:t>
      </w:r>
      <w:r w:rsidDel="00000000" w:rsidR="00000000" w:rsidRPr="00000000">
        <w:rPr>
          <w:rFonts w:ascii="Google Sans" w:cs="Google Sans" w:eastAsia="Google Sans" w:hAnsi="Google Sans"/>
          <w:color w:val="1f1f1f"/>
        </w:rPr>
        <w:drawing>
          <wp:inline distB="19050" distT="19050" distL="19050" distR="19050">
            <wp:extent cx="982504" cy="245626"/>
            <wp:effectExtent b="0" l="0" r="0" t="0"/>
            <wp:docPr id="30"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982504" cy="2456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completing clustering on a 500-node graph in under 5 milliseconds on a single CPU core, enabling sub-second response times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False-Positive Protection Protocols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digital retail lending, false positives degrade customer acquisition funnels and introduce fair lending compliance risks. ShadowGram deploys a structured, non-punitive safeguard protocol to protect authentic applicants: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applicant session enters the system, it is evaluated across the 5-layer interaction physics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session matches other concurrent sessions on fewer than three layers, it remains completely unlinked, bypassing community detection and proceeding directly through the standard approval pipeline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genuine users applying during high-traffic windows are not penalized simply for sharing temporal or navigational patterns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session satisfies the 3-layer minimum rule with composite similarity </w:t>
      </w:r>
      <w:r w:rsidDel="00000000" w:rsidR="00000000" w:rsidRPr="00000000">
        <w:rPr>
          <w:rFonts w:ascii="Google Sans" w:cs="Google Sans" w:eastAsia="Google Sans" w:hAnsi="Google Sans"/>
          <w:color w:val="1f1f1f"/>
        </w:rPr>
        <w:drawing>
          <wp:inline distB="19050" distT="19050" distL="19050" distR="19050">
            <wp:extent cx="1058542" cy="244279"/>
            <wp:effectExtent b="0" l="0" r="0" t="0"/>
            <wp:docPr id="31"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1058542" cy="244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incorporated into the community detection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Louvain modularity identifies a tightly coupled cluster (</w:t>
      </w:r>
      <w:r w:rsidDel="00000000" w:rsidR="00000000" w:rsidRPr="00000000">
        <w:rPr>
          <w:rFonts w:ascii="Google Sans" w:cs="Google Sans" w:eastAsia="Google Sans" w:hAnsi="Google Sans"/>
          <w:color w:val="1f1f1f"/>
        </w:rPr>
        <w:drawing>
          <wp:inline distB="19050" distT="19050" distL="19050" distR="19050">
            <wp:extent cx="1388583" cy="245044"/>
            <wp:effectExtent b="0" l="0" r="0" t="0"/>
            <wp:docPr id="32" name="image21.png"/>
            <a:graphic>
              <a:graphicData uri="http://schemas.openxmlformats.org/drawingml/2006/picture">
                <pic:pic>
                  <pic:nvPicPr>
                    <pic:cNvPr id="0" name="image21.png"/>
                    <pic:cNvPicPr preferRelativeResize="0"/>
                  </pic:nvPicPr>
                  <pic:blipFill>
                    <a:blip r:embed="rId58"/>
                    <a:srcRect b="0" l="0" r="0" t="0"/>
                    <a:stretch>
                      <a:fillRect/>
                    </a:stretch>
                  </pic:blipFill>
                  <pic:spPr>
                    <a:xfrm>
                      <a:off x="0" y="0"/>
                      <a:ext cx="1388583" cy="2450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does not execute permanent account deletions or hard credit denials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it issues a temporary quarantine and triggers a non-punitive step-up verification challenge: an automated 1-rupee UPI penny-drop or RBI Account Aggregator (AA) consent check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Legitimate human applicants can complete this verification in seconds via their mobile banking apps, instantly clearing their session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contrast, headless browser swarms lack access to out-of-band banking authentication channels, causing automated bot agents to abandon the application flow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and Economic Strategy Defensibility</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Compliance: ECOA, EU AI Act, and RBI Directives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addressing compliance, the architectural narrative must align with statutory and regulatory mandates across target jurisdictions.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Framework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Reference &amp; Statutory Authority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Mandated Technical Standard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ShadowGram System Implementation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United States ECOA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U.S.C. § 1691(d)(2) &amp; Regulation B (12 CFR § 1002.9(a)(2))</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Mandates specific, accurate principal reasons for adverse action; forbids black-box scores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Translates graph topology and physics metrics into discrete, compliant Adverse Action Reason Codes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European Union AI 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Regulation (EU) 2024/1689, Annex III, Section 5(b)</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Classifies credit scoring AI as High-Risk; requires transparency (Art 13) and oversight (Art 14)</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Card" provides full explainability; 1-Click Quarantine enforces human-in-the-loop control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Reserve Bank of 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Lending Master Directions (RBI/2022-23/111)</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Prohibits opaque underwriting; mandates auditable logs for credit rejections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Generates auditable, timestamped SAR PDF dossiers via ReportLab within two seconds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3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United States: ECOA (15 U.S.C. § 1691) &amp; Regulation B (12 CFR § 1002.9)</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On May 12, 2025, the Consumer Financial Protection Bureau (CFPB) published a notice in the Federal Register withdrawing 67 non-binding guidance documents, including Circular 2023-03 (which addressed adverse action notices for algorithmic credit models)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regulatory evaluator may ask: </w:t>
      </w:r>
      <w:r w:rsidDel="00000000" w:rsidR="00000000" w:rsidRPr="00000000">
        <w:rPr>
          <w:rFonts w:ascii="Google Sans" w:cs="Google Sans" w:eastAsia="Google Sans" w:hAnsi="Google Sans"/>
          <w:i w:val="1"/>
          <w:iCs w:val="1"/>
          <w:color w:val="1f1f1f"/>
          <w:rtl w:val="0"/>
        </w:rPr>
        <w:t xml:space="preserve">"If Circular 2023-03 was withdrawn, what is the legal basis for your explainability requirements?"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defense must distinguish between sub-regulatory administrative guidance and underlying federal statute: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CFPB's withdrawal of Circular 2023-03 removed non-binding administrative guidance; it did not alter federal statute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underlying legal obligation is established by the Equal Credit Opportunity Act (15 U.S.C. § 1691(d)(2)), enacted by the United States Congress, and implemented by Regulation B (12 CFR § 1002.9(a)(2))</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Regulation B states that adverse action notices must be "specific" and "relate to and accurately describe the factors actually considered or scored"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Under 12 CFR § 1002.9, using an unexplainable risk score remains a compliance violation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ShadowGram supports compliance by generating specific adverse action factor codes—such as "Unverifiable telemetry consistency" or "Coordinated session submission anomaly"—directly from its graph metrics, satisfying statutory transparency requirements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European Union: EU AI Act (Regulation (EU) 2024/1689)</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EU AI Act, artificial intelligence systems intended to evaluate the creditworthiness of natural persons or establish their credit scores are classified as High-Risk AI Systems under Annex III, Section 5(b)</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High-risk systems must satisfy Article 13 (Transparency) by ensuring operations are interpretable by deployers; ShadowGram's "Why Card" provides a direct breakdown of why sessions were linked and clustered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Article 14 (Human Oversight) requires technical interfaces that allow human operators to oversee systems and deploy kill-switches; ShadowGram's [ 1-Click Blast-Radius Quarantine ] operationalizes Article 14(4)(a), providing the required human-in-the-loop control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 Reserve Bank of India (RBI) Digital Lending Master Directions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RBI Master Directions (RBI/2022-23/111) require Regulated Entities (REs) to ensure that automated credit underwriting engines operate transparently, prohibiting opaque third-party algorithmic black boxes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Lenders must maintain auditable, deterministic logs explaining credit denials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ShadowGram produces structured, auditable telemetry records that support compliance during central bank examinations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"Denial-of-Wallet" Economic Model Audit</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fraud architectures evaluate identity validity after processing the initial application form. In this sequential onboarding model, lenders invoke third-party verification APIs before identifying behavioral anomalies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Adversaries exploit this design through Denial-of-Wallet (DoW) attacks: flooding the onboarding endpoint with valid, stolen identities (e.g., from historical data leaks such as the 815-million Indian citizen database leak)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Even if every application is ultimately rejected, the lender incurs significant third-party verification API charges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Verification Infrastructure Step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API Provider Rail /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Empirical Unit Cost (INR)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100k Application Attack Cost (INR)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PAN Verification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NSDL / Protean Rails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 ₹3.00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 – ₹3,00,000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Aadhaar OTP e-KYC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UIDAI / Registered AUA Rails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 – ₹8.00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₹3,50,000 – ₹8,00,000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Bank Statement Scraping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Perfios / Setu Account Aggregator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 – ₹25.00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₹12,00,000 – ₹25,00,000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Bureau Credit Inquiry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CIBIL / Experian / CRIF High 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 ₹35.00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₹15,00,000 – ₹35,00,000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Biometric Liveness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HyperVerge / IDfy Face Match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 ₹12.00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₹4,00,000 – ₹12,00,000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Address Geocoding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Maps API Reverse Geocoding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₹0.80 – ₹2.50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 – ₹2,50,000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SEQUENTIAL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End-to-End KYC Verification Stack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₹36.80 – ₹85.50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₹36,80,000 – ₹85,50,000</w:t>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high-intensity attack scenarios involving deep document-forgery engines (e.g., OnlyFake neural generation suites costing </w:t>
      </w:r>
      <m:oMath>
        <m:r>
          <w:rPr>
            <w:rFonts w:ascii="Google Sans" w:cs="Google Sans" w:eastAsia="Google Sans" w:hAnsi="Google Sans"/>
            <w:color w:val="1f1f1f"/>
          </w:rPr>
          <m:t xml:space="preserve">15perdocument),complexmanualandautomatedreviewscandrivepipelinecostsupto₹114.50perapplicant,resultingintotalverificationexpensesbetween₹33.5Lakhand₹1.18Crore(~</m:t>
        </m:r>
      </m:oMath>
      <w:r w:rsidDel="00000000" w:rsidR="00000000" w:rsidRPr="00000000">
        <w:rPr>
          <w:rFonts w:ascii="Google Sans" w:cs="Google Sans" w:eastAsia="Google Sans" w:hAnsi="Google Sans"/>
          <w:color w:val="1f1f1f"/>
          <w:rtl w:val="0"/>
        </w:rPr>
        <w:t xml:space="preserve">140,000 USD) per 100,000 synthetic applications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ShadowGram mitigates this exposure through pre-KYC behavioral triage at Form Step 2</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Operating locally on non-PII interaction physics, the engine detects and quarantines coordinated agent swarms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paid verification APIs are called, neutralizing the economic impact of the attack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Defense Battlecard: Authoritative Responses to Adversarial Inquiries</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Battlecard 1: Sybil Evasion, Proxy Rotation, and Asynchronous Swarms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An inquiring evaluator may pose the following challenge: </w:t>
      </w:r>
      <w:r w:rsidDel="00000000" w:rsidR="00000000" w:rsidRPr="00000000">
        <w:rPr>
          <w:rFonts w:ascii="Google Sans" w:cs="Google Sans" w:eastAsia="Google Sans" w:hAnsi="Google Sans"/>
          <w:i w:val="1"/>
          <w:iCs w:val="1"/>
          <w:color w:val="1f1f1f"/>
          <w:rtl w:val="0"/>
        </w:rPr>
        <w:t xml:space="preserve">"What if an advanced attacker randomizes sleep delays across a 6-hour window, uses diverse LLM system prompts, and routes traffic through 1,000 residential 4G proxies? If arrival timing (</w:t>
      </w:r>
      <w:r w:rsidDel="00000000" w:rsidR="00000000" w:rsidRPr="00000000">
        <w:rPr>
          <w:rFonts w:ascii="Google Sans" w:cs="Google Sans" w:eastAsia="Google Sans" w:hAnsi="Google Sans"/>
          <w:i w:val="1"/>
          <w:iCs w:val="1"/>
          <w:color w:val="1f1f1f"/>
        </w:rPr>
        <w:drawing>
          <wp:inline distB="19050" distT="19050" distL="19050" distR="19050">
            <wp:extent cx="233998" cy="244172"/>
            <wp:effectExtent b="0" l="0" r="0" t="0"/>
            <wp:docPr id="34" name="image24.png"/>
            <a:graphic>
              <a:graphicData uri="http://schemas.openxmlformats.org/drawingml/2006/picture">
                <pic:pic>
                  <pic:nvPicPr>
                    <pic:cNvPr id="0" name="image24.png"/>
                    <pic:cNvPicPr preferRelativeResize="0"/>
                  </pic:nvPicPr>
                  <pic:blipFill>
                    <a:blip r:embed="rId59"/>
                    <a:srcRect b="0" l="0" r="0" t="0"/>
                    <a:stretch>
                      <a:fillRect/>
                    </a:stretch>
                  </pic:blipFill>
                  <pic:spPr>
                    <a:xfrm>
                      <a:off x="0" y="0"/>
                      <a:ext cx="233998" cy="244172"/>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and semantic text similarity are decoupled, doesn't your Louvain clustering fail?"</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question presents a hidden technical trap by assuming the system requires simultaneous matches across all five layers, while overlooking the economic constraints of automated micro-lending fraud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authoritative response must be delivered with technical precision:</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defense does not require simultaneous matches across all five layers. The system enforces a three-layer minimum rule with weighted composite similarity (</w:t>
      </w:r>
      <w:r w:rsidDel="00000000" w:rsidR="00000000" w:rsidRPr="00000000">
        <w:rPr>
          <w:rFonts w:ascii="Google Sans" w:cs="Google Sans" w:eastAsia="Google Sans" w:hAnsi="Google Sans"/>
          <w:color w:val="1f1f1f"/>
        </w:rPr>
        <w:drawing>
          <wp:inline distB="19050" distT="19050" distL="19050" distR="19050">
            <wp:extent cx="1058542" cy="244279"/>
            <wp:effectExtent b="0" l="0" r="0" t="0"/>
            <wp:docPr id="36"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1058542" cy="244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an attacker can stagger execution timing and rotate residential proxies, automated lending fraud is subject to specific structural constraints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Staggering transactions across hours exposes the attack to interim credit bureau reporting cycles and human risk reviews, while rotating proxies increases attack infrastructure costs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More importantly, temporal decoupling does not alter client-side execution characteristics: agents running Playwright browser contexts still exhibit identical hardware entropy, synchronized route state transitions, and an absence of biological 8–12 Hz physiological tremor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our multi-layer model, even if </w:t>
      </w:r>
      <w:r w:rsidDel="00000000" w:rsidR="00000000" w:rsidRPr="00000000">
        <w:rPr>
          <w:rFonts w:ascii="Google Sans" w:cs="Google Sans" w:eastAsia="Google Sans" w:hAnsi="Google Sans"/>
          <w:color w:val="1f1f1f"/>
        </w:rPr>
        <w:drawing>
          <wp:inline distB="19050" distT="19050" distL="19050" distR="19050">
            <wp:extent cx="396081" cy="243742"/>
            <wp:effectExtent b="0" l="0" r="0" t="0"/>
            <wp:docPr id="3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96081" cy="2437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drops to zero, the combined similarity across kinetic jerk, hardware entropy, and navigational sequence alignment remains above the 0.78 threshold, successfully forming an edge and isolating the syndicate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Battlecard 2: Graph Scalability, Edge Explosion, and In-Memory Latency</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inquiring evaluator may challenge: "Modularity maximization is NP-hard, and Louvain is an </w:t>
      </w:r>
      <w:r w:rsidDel="00000000" w:rsidR="00000000" w:rsidRPr="00000000">
        <w:rPr>
          <w:rFonts w:ascii="Google Sans" w:cs="Google Sans" w:eastAsia="Google Sans" w:hAnsi="Google Sans"/>
          <w:color w:val="1f1f1f"/>
        </w:rPr>
        <w:drawing>
          <wp:inline distB="19050" distT="19050" distL="19050" distR="19050">
            <wp:extent cx="982504" cy="245626"/>
            <wp:effectExtent b="0" l="0" r="0" t="0"/>
            <wp:docPr id="40"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982504" cy="2456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heuristic. If a tier-1 digital bank processes 50,000 concurrent loan applications, an in-memory NetworkX graph in Python will experience edge explosion (</w:t>
      </w:r>
      <w:r w:rsidDel="00000000" w:rsidR="00000000" w:rsidRPr="00000000">
        <w:rPr>
          <w:rFonts w:ascii="Google Sans" w:cs="Google Sans" w:eastAsia="Google Sans" w:hAnsi="Google Sans"/>
          <w:color w:val="1f1f1f"/>
        </w:rPr>
        <w:drawing>
          <wp:inline distB="19050" distT="19050" distL="19050" distR="19050">
            <wp:extent cx="564039" cy="246126"/>
            <wp:effectExtent b="0" l="0" r="0" t="0"/>
            <wp:docPr id="42" name="image12.png"/>
            <a:graphic>
              <a:graphicData uri="http://schemas.openxmlformats.org/drawingml/2006/picture">
                <pic:pic>
                  <pic:nvPicPr>
                    <pic:cNvPr id="0" name="image12.png"/>
                    <pic:cNvPicPr preferRelativeResize="0"/>
                  </pic:nvPicPr>
                  <pic:blipFill>
                    <a:blip r:embed="rId60"/>
                    <a:srcRect b="0" l="0" r="0" t="0"/>
                    <a:stretch>
                      <a:fillRect/>
                    </a:stretch>
                  </pic:blipFill>
                  <pic:spPr>
                    <a:xfrm>
                      <a:off x="0" y="0"/>
                      <a:ext cx="564039" cy="246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blocking the Uvicorn event loop and crashing the FastAPI server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 does this scale in enterprise production?"</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trap question assumes the engine maintains an unpartitioned, long-lived global graph in Python memory, rather than using temporal sliding windows and multi-stage sparsification.</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authoritative response highlights distributed architecture patterns: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enterprise production, the system does not maintain an unpartitioned global graph in Python memory. Scalability is achieved through three architectural techniques: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graph state is managed using an active sliding temporal window (</w:t>
      </w:r>
      <w:r w:rsidDel="00000000" w:rsidR="00000000" w:rsidRPr="00000000">
        <w:rPr>
          <w:rFonts w:ascii="Google Sans" w:cs="Google Sans" w:eastAsia="Google Sans" w:hAnsi="Google Sans"/>
          <w:color w:val="1f1f1f"/>
        </w:rPr>
        <w:drawing>
          <wp:inline distB="19050" distT="19050" distL="19050" distR="19050">
            <wp:extent cx="1291114" cy="243990"/>
            <wp:effectExtent b="0" l="0" r="0" t="0"/>
            <wp:docPr id="44"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1291114" cy="2439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bounding active nodes to current concurrent sessions (</w:t>
      </w:r>
      <w:r w:rsidDel="00000000" w:rsidR="00000000" w:rsidRPr="00000000">
        <w:rPr>
          <w:rFonts w:ascii="Google Sans" w:cs="Google Sans" w:eastAsia="Google Sans" w:hAnsi="Google Sans"/>
          <w:color w:val="1f1f1f"/>
        </w:rPr>
        <w:drawing>
          <wp:inline distB="19050" distT="19050" distL="19050" distR="19050">
            <wp:extent cx="918210" cy="244856"/>
            <wp:effectExtent b="0" l="0" r="0" t="0"/>
            <wp:docPr id="28" name="image15.png"/>
            <a:graphic>
              <a:graphicData uri="http://schemas.openxmlformats.org/drawingml/2006/picture">
                <pic:pic>
                  <pic:nvPicPr>
                    <pic:cNvPr id="0" name="image15.png"/>
                    <pic:cNvPicPr preferRelativeResize="0"/>
                  </pic:nvPicPr>
                  <pic:blipFill>
                    <a:blip r:embed="rId61"/>
                    <a:srcRect b="0" l="0" r="0" t="0"/>
                    <a:stretch>
                      <a:fillRect/>
                    </a:stretch>
                  </pic:blipFill>
                  <pic:spPr>
                    <a:xfrm>
                      <a:off x="0" y="0"/>
                      <a:ext cx="918210" cy="2448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Older sessions are flushed to persistent graph databases like Neo4j or Amazon Neptune.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system avoids </w:t>
      </w:r>
      <w:r w:rsidDel="00000000" w:rsidR="00000000" w:rsidRPr="00000000">
        <w:rPr>
          <w:rFonts w:ascii="Google Sans" w:cs="Google Sans" w:eastAsia="Google Sans" w:hAnsi="Google Sans"/>
          <w:color w:val="1f1f1f"/>
        </w:rPr>
        <w:drawing>
          <wp:inline distB="19050" distT="19050" distL="19050" distR="19050">
            <wp:extent cx="564039" cy="246126"/>
            <wp:effectExtent b="0" l="0" r="0" t="0"/>
            <wp:docPr id="29" name="image12.png"/>
            <a:graphic>
              <a:graphicData uri="http://schemas.openxmlformats.org/drawingml/2006/picture">
                <pic:pic>
                  <pic:nvPicPr>
                    <pic:cNvPr id="0" name="image12.png"/>
                    <pic:cNvPicPr preferRelativeResize="0"/>
                  </pic:nvPicPr>
                  <pic:blipFill>
                    <a:blip r:embed="rId60"/>
                    <a:srcRect b="0" l="0" r="0" t="0"/>
                    <a:stretch>
                      <a:fillRect/>
                    </a:stretch>
                  </pic:blipFill>
                  <pic:spPr>
                    <a:xfrm>
                      <a:off x="0" y="0"/>
                      <a:ext cx="564039" cy="246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pairwise edge comparisons by applying early candidate pruning. Ingress sessions are indexed into Locality-Sensitive Hashing (LSH) buckets based on environmental entropy and navigation sequence tokens. Pairwise similarity is computed only within matching buckets, reducing comparison complexity from </w:t>
      </w:r>
      <w:r w:rsidDel="00000000" w:rsidR="00000000" w:rsidRPr="00000000">
        <w:rPr>
          <w:rFonts w:ascii="Google Sans" w:cs="Google Sans" w:eastAsia="Google Sans" w:hAnsi="Google Sans"/>
          <w:color w:val="1f1f1f"/>
        </w:rPr>
        <w:drawing>
          <wp:inline distB="19050" distT="19050" distL="19050" distR="19050">
            <wp:extent cx="564039" cy="246126"/>
            <wp:effectExtent b="0" l="0" r="0" t="0"/>
            <wp:docPr id="11" name="image12.png"/>
            <a:graphic>
              <a:graphicData uri="http://schemas.openxmlformats.org/drawingml/2006/picture">
                <pic:pic>
                  <pic:nvPicPr>
                    <pic:cNvPr id="0" name="image12.png"/>
                    <pic:cNvPicPr preferRelativeResize="0"/>
                  </pic:nvPicPr>
                  <pic:blipFill>
                    <a:blip r:embed="rId60"/>
                    <a:srcRect b="0" l="0" r="0" t="0"/>
                    <a:stretch>
                      <a:fillRect/>
                    </a:stretch>
                  </pic:blipFill>
                  <pic:spPr>
                    <a:xfrm>
                      <a:off x="0" y="0"/>
                      <a:ext cx="564039" cy="246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485775" cy="248055"/>
            <wp:effectExtent b="0" l="0" r="0" t="0"/>
            <wp:docPr id="12"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485775" cy="248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compute-heavy graph partitioning is offloaded from the asynchronous Uvicorn event loop to dedicated multi-threaded Rust binaries via PyO3 or compiled C++ extensions (python-louvain/igraph), which partition a 1,000-node graph in under 4 milliseconds. The FastAPI server handles only ingress I/O, ensuring stable operation under high load."</w:t>
      </w:r>
    </w:p>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Battlecard 3: Adversarial Kinetic Spoofing and Replay Attacks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inquiring evaluator may ask: "Modern fraud platforms record human mouse movements from real users and replay them inside automated browser contexts using libraries like ghost-cursor, or train diffusion models to synthesize human kinematics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 does your 2D-CNN spectrogram distinguish replayed human kinematics from live human interaction?"</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trap here assumes that human kinetic dynamics can be replayed inside dynamic DOM environments without introducing mathematical inconsistencies.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authoritative response focuses on kinematic geometry and cross-session correlation:</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identifies replayed kinematics using two distinct mechanisms: dynamic UI target mismatches and spectral phase coherence.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attacker replays recorded human mouse movements, the trajectory must adapt to dynamic client environments—such as responsive element layouts, randomized input fields, and varying screen resolutions. Replaying a static path without adjustment causes clicks to land outside target DOM bounding boxes. Conversely, applying mathematical affine transforms (stretching, rotating, or scaling) to fit new coordinates alters the underlying velocity derivatives, smoothing out the natural 8–12 Hz involuntary motor tremor and flattening the kinetic jerk profile (</w:t>
      </w:r>
      <w:r w:rsidDel="00000000" w:rsidR="00000000" w:rsidRPr="00000000">
        <w:rPr>
          <w:rFonts w:ascii="Google Sans" w:cs="Google Sans" w:eastAsia="Google Sans" w:hAnsi="Google Sans"/>
          <w:color w:val="1f1f1f"/>
        </w:rPr>
        <w:drawing>
          <wp:inline distB="19050" distT="19050" distL="19050" distR="19050">
            <wp:extent cx="614203" cy="276392"/>
            <wp:effectExtent b="0" l="0" r="0" t="0"/>
            <wp:docPr id="14"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614203" cy="276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replaying identical kinematic profiles across multiple sessions introduces cross-session correlation. If two distinct applicants exhibit identical trajectory spectrograms, their cross-session kinetic similarity evaluates to </w:t>
      </w:r>
      <w:r w:rsidDel="00000000" w:rsidR="00000000" w:rsidRPr="00000000">
        <w:rPr>
          <w:rFonts w:ascii="Google Sans" w:cs="Google Sans" w:eastAsia="Google Sans" w:hAnsi="Google Sans"/>
          <w:color w:val="1f1f1f"/>
        </w:rPr>
        <w:drawing>
          <wp:inline distB="19050" distT="19050" distL="19050" distR="19050">
            <wp:extent cx="827563" cy="245204"/>
            <wp:effectExtent b="0" l="0" r="0" t="0"/>
            <wp:docPr id="16" name="image14.png"/>
            <a:graphic>
              <a:graphicData uri="http://schemas.openxmlformats.org/drawingml/2006/picture">
                <pic:pic>
                  <pic:nvPicPr>
                    <pic:cNvPr id="0" name="image14.png"/>
                    <pic:cNvPicPr preferRelativeResize="0"/>
                  </pic:nvPicPr>
                  <pic:blipFill>
                    <a:blip r:embed="rId63"/>
                    <a:srcRect b="0" l="0" r="0" t="0"/>
                    <a:stretch>
                      <a:fillRect/>
                    </a:stretch>
                  </pic:blipFill>
                  <pic:spPr>
                    <a:xfrm>
                      <a:off x="0" y="0"/>
                      <a:ext cx="827563" cy="2452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creating an immediate relational edge. The attacker is caught in a technical dilemma: generating purely synthetic paths trips the 2D-CNN tremor classifier, while replaying recorded paths introduces cross-session correlation that drives Louvain community detection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Battlecard 4: NAT Gateway Sharing and Benign False-Positive Syndicates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An inquiring evaluator may suggest: </w:t>
      </w:r>
      <w:r w:rsidDel="00000000" w:rsidR="00000000" w:rsidRPr="00000000">
        <w:rPr>
          <w:rFonts w:ascii="Google Sans" w:cs="Google Sans" w:eastAsia="Google Sans" w:hAnsi="Google Sans"/>
          <w:i w:val="1"/>
          <w:iCs w:val="1"/>
          <w:color w:val="1f1f1f"/>
          <w:rtl w:val="0"/>
        </w:rPr>
        <w:t xml:space="preserve">"If 20 university students in the same computer lab or workers in a corporate office apply for a micro-loan simultaneously, they share the same public NAT IP, route sequence, and arrival window. Will your system cluster them into a synthetic syndicate and trigger an illegal collective adverse action under ECOA and RBI rules?"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question tests whether the architecture relies on IP addresses and network layer data for community detection, which would introduce severe false-positive risks.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authoritative response clarifies the non-PII, multi-layer verification protocol:</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does not evaluate IP addresses or public network boundaries, which are explicitly excluded from the 5-layer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the scenario where 20 students submit applications simultaneously from the same university lab. While they share an arrival window and general route sequence, their inputs across other layers remain distinct: each student possesses unique neuromuscular typing cadence, distinct cursor velocity spectrograms, and individual semantic loan justifications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3-layer minimum rule, matching on time (</w:t>
      </w:r>
      <w:r w:rsidDel="00000000" w:rsidR="00000000" w:rsidRPr="00000000">
        <w:rPr>
          <w:rFonts w:ascii="Google Sans" w:cs="Google Sans" w:eastAsia="Google Sans" w:hAnsi="Google Sans"/>
          <w:color w:val="1f1f1f"/>
        </w:rPr>
        <w:drawing>
          <wp:inline distB="19050" distT="19050" distL="19050" distR="19050">
            <wp:extent cx="396081" cy="243742"/>
            <wp:effectExtent b="0" l="0" r="0" t="0"/>
            <wp:docPr id="1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96081" cy="2437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navigation (</w:t>
      </w:r>
      <w:r w:rsidDel="00000000" w:rsidR="00000000" w:rsidRPr="00000000">
        <w:rPr>
          <w:rFonts w:ascii="Google Sans" w:cs="Google Sans" w:eastAsia="Google Sans" w:hAnsi="Google Sans"/>
          <w:color w:val="1f1f1f"/>
        </w:rPr>
        <w:drawing>
          <wp:inline distB="19050" distT="19050" distL="19050" distR="19050">
            <wp:extent cx="346869" cy="252268"/>
            <wp:effectExtent b="0" l="0" r="0" t="0"/>
            <wp:docPr id="20"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346869" cy="2522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produces matches on only two layers, which is insufficient to form an edge (</w:t>
      </w:r>
      <w:r w:rsidDel="00000000" w:rsidR="00000000" w:rsidRPr="00000000">
        <w:rPr>
          <w:rFonts w:ascii="Google Sans" w:cs="Google Sans" w:eastAsia="Google Sans" w:hAnsi="Google Sans"/>
          <w:color w:val="1f1f1f"/>
        </w:rPr>
        <w:drawing>
          <wp:inline distB="19050" distT="19050" distL="19050" distR="19050">
            <wp:extent cx="1058542" cy="244279"/>
            <wp:effectExtent b="0" l="0" r="0" t="0"/>
            <wp:docPr id="22"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1058542" cy="244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a result, the student nodes remain completely unlinked in the graph.</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even if an edge were formed, the system does not issue automated rejections. It deploys an automated 1-rupee UPI penny-drop step-up challenge, which legitimate human applicants can complete in seconds, preventing false-positive denials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Battlecard 5: Client-Side Telemetry Tampering and Reverse Engineering</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inquiring evaluator may challenge: "All your physics data—cursor trajectories, AudioContext decay, and route timings—originates in the client browser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What prevents an attacker from inspecting your client JavaScript, hooking the telemetry collector, and submitting fabricated, human-like telemetry directly to /telemetry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trap assumes client-side telemetry is ingested as unauthenticated, cleartext payloads without cryptographic binding or server-side structural validation.</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authoritative response highlights cryptographic attestation and transport verification:</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ingestion pipeline relies on two protective mechanisms: cryptographic proof-of-work attestation and server-side state machine verification.</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Client-side telemetry packets are not sent as raw JSON. Events are captured within a WebAssembly (Wasm) runtime obfuscated through control-flow flattening. Telemetry streams are cryptographically signed using ephemeral, time-bucketed HMAC keys derived from an initial challenge-response handshake with the FastAPI server. Payloads with invalid HMAC signatures or tampered event counters are dropped at ingress.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addition, the backend verifies client telemetry against the server's own state machine. If a client transmits a synthetic payload claiming a 1,200-millisecond human form completion, but the server's HTTP connection log records that the TCP stream opened and completed within 80 milliseconds, the temporal mismatch flags the session as an active injection attack. To bypass this, an attacker would have to run a fully functional browser in real time, bringing their automation back under the monitoring of our 2D-CNN kinetic tremor and hardware entropy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Implementation Roadmap</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audit confirms that Project SHADOWGRAM directly addresses the fundamental structural vulnerability in digital lending: the systemic failure of isolated, single-account fraud filters against coordinated autonomous AI swarms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achieves defensibility by anchoring detection in the physical and relational invariants of human-machine interaction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Visually, the Three.js dashboard translates complex graph dynamics into immediate visual clarity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Methodologically, evaluating relational interaction physics across five non-PII layers provides a robust defense against proxy rotation and identity theft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Operationally, conducting pre-KYC behavioral triage before invoking third-party verification APIs neutralizes Denial-of-Wallet attacks, protecting lenders from financial exhaustion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an effective live demonstration, the team must execute the following operational steps:</w:t>
      </w:r>
    </w:p>
    <w:p w:rsidR="00000000" w:rsidDel="00000000" w:rsidP="00000000" w:rsidRDefault="00000000" w:rsidRPr="00000000" w14:paraId="0000018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Initialize the half-resolution selective bloom pipeline to guarantee 60 FPS performance on local hardware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Apply administrative Windows Defender firewall rules across Laptops 1, 3, and 4 before initiating network traffic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Constrain the live judge interaction on Laptop 3 to a single staged input field to preserve presentation momentum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Rely on the sliding temporal window and sparsification mechanics to defend the algorithmic validity of Newman-Girvan Louvain Modularity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Anchor legal compliance arguments in statutory ECOA and Regulation B requirements, which remain binding despite the withdrawal of Circular 2023-03</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Adhering to these operational controls ensures a reliable demonstration that validates both the technical architecture and real-time performance of Project SHADOWGRAM under live competition conditions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AUDIT_CONTEXT_BRIEFING_FOR_DEEP_RESEARCH.md</w:t>
      </w:r>
    </w:p>
    <w:p w:rsidR="00000000" w:rsidDel="00000000" w:rsidP="00000000" w:rsidRDefault="00000000" w:rsidRPr="00000000" w14:paraId="000001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Optimize Three.js Performance for Mobile Devices, </w:t>
      </w:r>
      <w:hyperlink r:id="rId65">
        <w:r w:rsidDel="00000000" w:rsidR="00000000" w:rsidRPr="00000000">
          <w:rPr>
            <w:rFonts w:ascii="Google Sans" w:cs="Google Sans" w:eastAsia="Google Sans" w:hAnsi="Google Sans"/>
            <w:color w:val="0000ee"/>
            <w:sz w:val="24"/>
            <w:szCs w:val="24"/>
            <w:u w:val="single"/>
            <w:rtl w:val="0"/>
          </w:rPr>
          <w:t xml:space="preserve">https://digitalstrategyforce.com/journal/how-do-you-optimize-threejs-performance-for-mobile-devices/</w:t>
        </w:r>
      </w:hyperlink>
      <w:r w:rsidDel="00000000" w:rsidR="00000000" w:rsidRPr="00000000">
        <w:rPr>
          <w:rtl w:val="0"/>
        </w:rPr>
      </w:r>
    </w:p>
    <w:p w:rsidR="00000000" w:rsidDel="00000000" w:rsidP="00000000" w:rsidRDefault="00000000" w:rsidRPr="00000000" w14:paraId="000001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threejs-scene-builder - Skill - Smithery, </w:t>
      </w:r>
      <w:hyperlink r:id="rId66">
        <w:r w:rsidDel="00000000" w:rsidR="00000000" w:rsidRPr="00000000">
          <w:rPr>
            <w:rFonts w:ascii="Google Sans" w:cs="Google Sans" w:eastAsia="Google Sans" w:hAnsi="Google Sans"/>
            <w:color w:val="0000ee"/>
            <w:sz w:val="24"/>
            <w:szCs w:val="24"/>
            <w:u w:val="single"/>
            <w:rtl w:val="0"/>
          </w:rPr>
          <w:t xml:space="preserve">https://smithery.ai/skills/Dexploarer/threejs-scene-builder</w:t>
        </w:r>
      </w:hyperlink>
      <w:r w:rsidDel="00000000" w:rsidR="00000000" w:rsidRPr="00000000">
        <w:rPr>
          <w:rtl w:val="0"/>
        </w:rPr>
      </w:r>
    </w:p>
    <w:p w:rsidR="00000000" w:rsidDel="00000000" w:rsidP="00000000" w:rsidRDefault="00000000" w:rsidRPr="00000000" w14:paraId="000001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Three.js Guide: Complete Reference for Builders (2026), </w:t>
      </w:r>
      <w:hyperlink r:id="rId67">
        <w:r w:rsidDel="00000000" w:rsidR="00000000" w:rsidRPr="00000000">
          <w:rPr>
            <w:rFonts w:ascii="Google Sans" w:cs="Google Sans" w:eastAsia="Google Sans" w:hAnsi="Google Sans"/>
            <w:color w:val="0000ee"/>
            <w:sz w:val="24"/>
            <w:szCs w:val="24"/>
            <w:u w:val="single"/>
            <w:rtl w:val="0"/>
          </w:rPr>
          <w:t xml:space="preserve">https://learnwithhasan.com/threejs-guide/</w:t>
        </w:r>
      </w:hyperlink>
      <w:r w:rsidDel="00000000" w:rsidR="00000000" w:rsidRPr="00000000">
        <w:rPr>
          <w:rtl w:val="0"/>
        </w:rPr>
      </w:r>
    </w:p>
    <w:p w:rsidR="00000000" w:rsidDel="00000000" w:rsidP="00000000" w:rsidRDefault="00000000" w:rsidRPr="00000000" w14:paraId="000001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BatchedMesh – three.js docs, </w:t>
      </w:r>
      <w:hyperlink r:id="rId68">
        <w:r w:rsidDel="00000000" w:rsidR="00000000" w:rsidRPr="00000000">
          <w:rPr>
            <w:rFonts w:ascii="Google Sans" w:cs="Google Sans" w:eastAsia="Google Sans" w:hAnsi="Google Sans"/>
            <w:color w:val="0000ee"/>
            <w:sz w:val="24"/>
            <w:szCs w:val="24"/>
            <w:u w:val="single"/>
            <w:rtl w:val="0"/>
          </w:rPr>
          <w:t xml:space="preserve">https://threejs.org/docs/pages/BatchedMesh.html</w:t>
        </w:r>
      </w:hyperlink>
      <w:r w:rsidDel="00000000" w:rsidR="00000000" w:rsidRPr="00000000">
        <w:rPr>
          <w:rtl w:val="0"/>
        </w:rPr>
      </w:r>
    </w:p>
    <w:p w:rsidR="00000000" w:rsidDel="00000000" w:rsidP="00000000" w:rsidRDefault="00000000" w:rsidRPr="00000000" w14:paraId="000001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 three.js docs, </w:t>
      </w:r>
      <w:hyperlink r:id="rId69">
        <w:r w:rsidDel="00000000" w:rsidR="00000000" w:rsidRPr="00000000">
          <w:rPr>
            <w:rFonts w:ascii="Google Sans" w:cs="Google Sans" w:eastAsia="Google Sans" w:hAnsi="Google Sans"/>
            <w:color w:val="0000ee"/>
            <w:sz w:val="24"/>
            <w:szCs w:val="24"/>
            <w:u w:val="single"/>
            <w:rtl w:val="0"/>
          </w:rPr>
          <w:t xml:space="preserve">https://threejs.org/docs/index.html?q=PointsMaterial</w:t>
        </w:r>
      </w:hyperlink>
      <w:r w:rsidDel="00000000" w:rsidR="00000000" w:rsidRPr="00000000">
        <w:rPr>
          <w:rtl w:val="0"/>
        </w:rPr>
      </w:r>
    </w:p>
    <w:p w:rsidR="00000000" w:rsidDel="00000000" w:rsidP="00000000" w:rsidRDefault="00000000" w:rsidRPr="00000000" w14:paraId="000001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ShadowGram_Master_Plan_Book.pdf</w:t>
      </w:r>
    </w:p>
    <w:p w:rsidR="00000000" w:rsidDel="00000000" w:rsidP="00000000" w:rsidRDefault="00000000" w:rsidRPr="00000000" w14:paraId="000001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web-audio-api — AI agent skill | explainx.ai, </w:t>
      </w:r>
      <w:hyperlink r:id="rId70">
        <w:r w:rsidDel="00000000" w:rsidR="00000000" w:rsidRPr="00000000">
          <w:rPr>
            <w:rFonts w:ascii="Google Sans" w:cs="Google Sans" w:eastAsia="Google Sans" w:hAnsi="Google Sans"/>
            <w:color w:val="0000ee"/>
            <w:sz w:val="24"/>
            <w:szCs w:val="24"/>
            <w:u w:val="single"/>
            <w:rtl w:val="0"/>
          </w:rPr>
          <w:t xml:space="preserve">https://explainx.ai/skills/martinholovsky/claude-skills-generator/web-audio-api</w:t>
        </w:r>
      </w:hyperlink>
      <w:r w:rsidDel="00000000" w:rsidR="00000000" w:rsidRPr="00000000">
        <w:rPr>
          <w:rtl w:val="0"/>
        </w:rPr>
      </w:r>
    </w:p>
    <w:p w:rsidR="00000000" w:rsidDel="00000000" w:rsidP="00000000" w:rsidRDefault="00000000" w:rsidRPr="00000000" w14:paraId="000001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Cyber Dodge Game using React - Coding Stella, </w:t>
      </w:r>
      <w:hyperlink r:id="rId71">
        <w:r w:rsidDel="00000000" w:rsidR="00000000" w:rsidRPr="00000000">
          <w:rPr>
            <w:rFonts w:ascii="Google Sans" w:cs="Google Sans" w:eastAsia="Google Sans" w:hAnsi="Google Sans"/>
            <w:color w:val="0000ee"/>
            <w:sz w:val="24"/>
            <w:szCs w:val="24"/>
            <w:u w:val="single"/>
            <w:rtl w:val="0"/>
          </w:rPr>
          <w:t xml:space="preserve">https://codingstella.com/how-to-make-cyber-dodge-game-using-react/</w:t>
        </w:r>
      </w:hyperlink>
      <w:r w:rsidDel="00000000" w:rsidR="00000000" w:rsidRPr="00000000">
        <w:rPr>
          <w:rtl w:val="0"/>
        </w:rPr>
      </w:r>
    </w:p>
    <w:p w:rsidR="00000000" w:rsidDel="00000000" w:rsidP="00000000" w:rsidRDefault="00000000" w:rsidRPr="00000000" w14:paraId="000001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Allowing external access through firewall to Django in Windows, </w:t>
      </w:r>
      <w:hyperlink r:id="rId72">
        <w:r w:rsidDel="00000000" w:rsidR="00000000" w:rsidRPr="00000000">
          <w:rPr>
            <w:rFonts w:ascii="Google Sans" w:cs="Google Sans" w:eastAsia="Google Sans" w:hAnsi="Google Sans"/>
            <w:color w:val="0000ee"/>
            <w:sz w:val="24"/>
            <w:szCs w:val="24"/>
            <w:u w:val="single"/>
            <w:rtl w:val="0"/>
          </w:rPr>
          <w:t xml:space="preserve">https://stackoverflow.com/questions/26819928/allowing-external-access-through-firewall-to-django-in-windows</w:t>
        </w:r>
      </w:hyperlink>
      <w:r w:rsidDel="00000000" w:rsidR="00000000" w:rsidRPr="00000000">
        <w:rPr>
          <w:rtl w:val="0"/>
        </w:rPr>
      </w:r>
    </w:p>
    <w:p w:rsidR="00000000" w:rsidDel="00000000" w:rsidP="00000000" w:rsidRDefault="00000000" w:rsidRPr="00000000" w14:paraId="000001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Headless Browsers: Managing Contexts vs. Instances, </w:t>
      </w:r>
      <w:hyperlink r:id="rId73">
        <w:r w:rsidDel="00000000" w:rsidR="00000000" w:rsidRPr="00000000">
          <w:rPr>
            <w:rFonts w:ascii="Google Sans" w:cs="Google Sans" w:eastAsia="Google Sans" w:hAnsi="Google Sans"/>
            <w:color w:val="0000ee"/>
            <w:sz w:val="24"/>
            <w:szCs w:val="24"/>
            <w:u w:val="single"/>
            <w:rtl w:val="0"/>
          </w:rPr>
          <w:t xml:space="preserve">https://dev.to/deepak_mishra_35863517037/scaling-headless-browsers-managing-contexts-vs-instances-1d73</w:t>
        </w:r>
      </w:hyperlink>
      <w:r w:rsidDel="00000000" w:rsidR="00000000" w:rsidRPr="00000000">
        <w:rPr>
          <w:rtl w:val="0"/>
        </w:rPr>
      </w:r>
    </w:p>
    <w:p w:rsidR="00000000" w:rsidDel="00000000" w:rsidP="00000000" w:rsidRDefault="00000000" w:rsidRPr="00000000" w14:paraId="000001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scale web scraping with Playwright BrowserContext - Spidra, </w:t>
      </w:r>
      <w:hyperlink r:id="rId74">
        <w:r w:rsidDel="00000000" w:rsidR="00000000" w:rsidRPr="00000000">
          <w:rPr>
            <w:rFonts w:ascii="Google Sans" w:cs="Google Sans" w:eastAsia="Google Sans" w:hAnsi="Google Sans"/>
            <w:color w:val="0000ee"/>
            <w:sz w:val="24"/>
            <w:szCs w:val="24"/>
            <w:u w:val="single"/>
            <w:rtl w:val="0"/>
          </w:rPr>
          <w:t xml:space="preserve">https://spidra.io/blog/playwright-browsercontext</w:t>
        </w:r>
      </w:hyperlink>
      <w:r w:rsidDel="00000000" w:rsidR="00000000" w:rsidRPr="00000000">
        <w:rPr>
          <w:rtl w:val="0"/>
        </w:rPr>
      </w:r>
    </w:p>
    <w:p w:rsidR="00000000" w:rsidDel="00000000" w:rsidP="00000000" w:rsidRDefault="00000000" w:rsidRPr="00000000" w14:paraId="000001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notes - Playwright, </w:t>
      </w:r>
      <w:hyperlink r:id="rId75">
        <w:r w:rsidDel="00000000" w:rsidR="00000000" w:rsidRPr="00000000">
          <w:rPr>
            <w:rFonts w:ascii="Google Sans" w:cs="Google Sans" w:eastAsia="Google Sans" w:hAnsi="Google Sans"/>
            <w:color w:val="0000ee"/>
            <w:sz w:val="24"/>
            <w:szCs w:val="24"/>
            <w:u w:val="single"/>
            <w:rtl w:val="0"/>
          </w:rPr>
          <w:t xml:space="preserve">https://playwright.dev/docs/release-notes</w:t>
        </w:r>
      </w:hyperlink>
      <w:r w:rsidDel="00000000" w:rsidR="00000000" w:rsidRPr="00000000">
        <w:rPr>
          <w:rtl w:val="0"/>
        </w:rPr>
      </w:r>
    </w:p>
    <w:p w:rsidR="00000000" w:rsidDel="00000000" w:rsidP="00000000" w:rsidRDefault="00000000" w:rsidRPr="00000000" w14:paraId="000001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Hyperspherical Geometry of Community Detection: Modularity, </w:t>
      </w:r>
      <w:hyperlink r:id="rId76">
        <w:r w:rsidDel="00000000" w:rsidR="00000000" w:rsidRPr="00000000">
          <w:rPr>
            <w:rFonts w:ascii="Google Sans" w:cs="Google Sans" w:eastAsia="Google Sans" w:hAnsi="Google Sans"/>
            <w:color w:val="0000ee"/>
            <w:sz w:val="24"/>
            <w:szCs w:val="24"/>
            <w:u w:val="single"/>
            <w:rtl w:val="0"/>
          </w:rPr>
          <w:t xml:space="preserve">https://www.jmlr.org/papers/volume24/22-0744/22-0744.pdf</w:t>
        </w:r>
      </w:hyperlink>
      <w:r w:rsidDel="00000000" w:rsidR="00000000" w:rsidRPr="00000000">
        <w:rPr>
          <w:rtl w:val="0"/>
        </w:rPr>
      </w:r>
    </w:p>
    <w:p w:rsidR="00000000" w:rsidDel="00000000" w:rsidP="00000000" w:rsidRDefault="00000000" w:rsidRPr="00000000" w14:paraId="000001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of a modular software network | PNAS, </w:t>
      </w:r>
      <w:hyperlink r:id="rId77">
        <w:r w:rsidDel="00000000" w:rsidR="00000000" w:rsidRPr="00000000">
          <w:rPr>
            <w:rFonts w:ascii="Google Sans" w:cs="Google Sans" w:eastAsia="Google Sans" w:hAnsi="Google Sans"/>
            <w:color w:val="0000ee"/>
            <w:sz w:val="24"/>
            <w:szCs w:val="24"/>
            <w:u w:val="single"/>
            <w:rtl w:val="0"/>
          </w:rPr>
          <w:t xml:space="preserve">https://www.pnas.org/doi/10.1073/pnas.1115960108</w:t>
        </w:r>
      </w:hyperlink>
      <w:r w:rsidDel="00000000" w:rsidR="00000000" w:rsidRPr="00000000">
        <w:rPr>
          <w:rtl w:val="0"/>
        </w:rPr>
      </w:r>
    </w:p>
    <w:p w:rsidR="00000000" w:rsidDel="00000000" w:rsidP="00000000" w:rsidRDefault="00000000" w:rsidRPr="00000000" w14:paraId="000001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Tolerating the Community Detection Resolution Limit with Edge, </w:t>
      </w:r>
      <w:hyperlink r:id="rId78">
        <w:r w:rsidDel="00000000" w:rsidR="00000000" w:rsidRPr="00000000">
          <w:rPr>
            <w:rFonts w:ascii="Google Sans" w:cs="Google Sans" w:eastAsia="Google Sans" w:hAnsi="Google Sans"/>
            <w:color w:val="0000ee"/>
            <w:sz w:val="24"/>
            <w:szCs w:val="24"/>
            <w:u w:val="single"/>
            <w:rtl w:val="0"/>
          </w:rPr>
          <w:t xml:space="preserve">https://arxiv.org/html/0903.1072v2</w:t>
        </w:r>
      </w:hyperlink>
      <w:r w:rsidDel="00000000" w:rsidR="00000000" w:rsidRPr="00000000">
        <w:rPr>
          <w:rtl w:val="0"/>
        </w:rPr>
      </w:r>
    </w:p>
    <w:p w:rsidR="00000000" w:rsidDel="00000000" w:rsidP="00000000" w:rsidRDefault="00000000" w:rsidRPr="00000000" w14:paraId="000001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Detection using Fortunato's Performance Measure - arXiv, </w:t>
      </w:r>
      <w:hyperlink r:id="rId79">
        <w:r w:rsidDel="00000000" w:rsidR="00000000" w:rsidRPr="00000000">
          <w:rPr>
            <w:rFonts w:ascii="Google Sans" w:cs="Google Sans" w:eastAsia="Google Sans" w:hAnsi="Google Sans"/>
            <w:color w:val="0000ee"/>
            <w:sz w:val="24"/>
            <w:szCs w:val="24"/>
            <w:u w:val="single"/>
            <w:rtl w:val="0"/>
          </w:rPr>
          <w:t xml:space="preserve">https://arxiv.org/pdf/2509.00938</w:t>
        </w:r>
      </w:hyperlink>
      <w:r w:rsidDel="00000000" w:rsidR="00000000" w:rsidRPr="00000000">
        <w:rPr>
          <w:rtl w:val="0"/>
        </w:rPr>
      </w:r>
    </w:p>
    <w:p w:rsidR="00000000" w:rsidDel="00000000" w:rsidP="00000000" w:rsidRDefault="00000000" w:rsidRPr="00000000" w14:paraId="000001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CFPB Circular 2023-03: Adverse action notification requirements, </w:t>
      </w:r>
      <w:hyperlink r:id="rId80">
        <w:r w:rsidDel="00000000" w:rsidR="00000000" w:rsidRPr="00000000">
          <w:rPr>
            <w:rFonts w:ascii="Google Sans" w:cs="Google Sans" w:eastAsia="Google Sans" w:hAnsi="Google Sans"/>
            <w:color w:val="0000ee"/>
            <w:sz w:val="24"/>
            <w:szCs w:val="24"/>
            <w:u w:val="single"/>
            <w:rtl w:val="0"/>
          </w:rPr>
          <w:t xml:space="preserve">https://files.consumerfinance.gov/f/documents/cfpb_adverse_action_notice_circular_2023-09.pdf</w:t>
        </w:r>
      </w:hyperlink>
      <w:r w:rsidDel="00000000" w:rsidR="00000000" w:rsidRPr="00000000">
        <w:rPr>
          <w:rtl w:val="0"/>
        </w:rPr>
      </w:r>
    </w:p>
    <w:p w:rsidR="00000000" w:rsidDel="00000000" w:rsidP="00000000" w:rsidRDefault="00000000" w:rsidRPr="00000000" w14:paraId="000001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 Promptfoo, </w:t>
      </w:r>
      <w:hyperlink r:id="rId81">
        <w:r w:rsidDel="00000000" w:rsidR="00000000" w:rsidRPr="00000000">
          <w:rPr>
            <w:rFonts w:ascii="Google Sans" w:cs="Google Sans" w:eastAsia="Google Sans" w:hAnsi="Google Sans"/>
            <w:color w:val="0000ee"/>
            <w:sz w:val="24"/>
            <w:szCs w:val="24"/>
            <w:u w:val="single"/>
            <w:rtl w:val="0"/>
          </w:rPr>
          <w:t xml:space="preserve">https://www.promptfoo.dev/docs/red-team/eu-ai-act/</w:t>
        </w:r>
      </w:hyperlink>
      <w:r w:rsidDel="00000000" w:rsidR="00000000" w:rsidRPr="00000000">
        <w:rPr>
          <w:rtl w:val="0"/>
        </w:rPr>
      </w:r>
    </w:p>
    <w:p w:rsidR="00000000" w:rsidDel="00000000" w:rsidP="00000000" w:rsidRDefault="00000000" w:rsidRPr="00000000" w14:paraId="000001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High-risk AI in banking: What the EU AI Act really means for credit, </w:t>
      </w:r>
      <w:hyperlink r:id="rId82">
        <w:r w:rsidDel="00000000" w:rsidR="00000000" w:rsidRPr="00000000">
          <w:rPr>
            <w:rFonts w:ascii="Google Sans" w:cs="Google Sans" w:eastAsia="Google Sans" w:hAnsi="Google Sans"/>
            <w:color w:val="0000ee"/>
            <w:sz w:val="24"/>
            <w:szCs w:val="24"/>
            <w:u w:val="single"/>
            <w:rtl w:val="0"/>
          </w:rPr>
          <w:t xml:space="preserve">https://banking.vision/en/high-risk-ai-in-banking</w:t>
        </w:r>
      </w:hyperlink>
      <w:r w:rsidDel="00000000" w:rsidR="00000000" w:rsidRPr="00000000">
        <w:rPr>
          <w:rtl w:val="0"/>
        </w:rPr>
      </w:r>
    </w:p>
    <w:p w:rsidR="00000000" w:rsidDel="00000000" w:rsidP="00000000" w:rsidRDefault="00000000" w:rsidRPr="00000000" w14:paraId="000001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Annex III: High-Risk AI Systems Referred to in Article 6(2) - EU AI Act, </w:t>
      </w:r>
      <w:hyperlink r:id="rId83">
        <w:r w:rsidDel="00000000" w:rsidR="00000000" w:rsidRPr="00000000">
          <w:rPr>
            <w:rFonts w:ascii="Google Sans" w:cs="Google Sans" w:eastAsia="Google Sans" w:hAnsi="Google Sans"/>
            <w:color w:val="0000ee"/>
            <w:sz w:val="24"/>
            <w:szCs w:val="24"/>
            <w:u w:val="single"/>
            <w:rtl w:val="0"/>
          </w:rPr>
          <w:t xml:space="preserve">https://artificialintelligenceact.eu/annex/3/</w:t>
        </w:r>
      </w:hyperlink>
      <w:r w:rsidDel="00000000" w:rsidR="00000000" w:rsidRPr="00000000">
        <w:rPr>
          <w:rtl w:val="0"/>
        </w:rPr>
      </w:r>
    </w:p>
    <w:p w:rsidR="00000000" w:rsidDel="00000000" w:rsidP="00000000" w:rsidRDefault="00000000" w:rsidRPr="00000000" w14:paraId="000001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Interpretive Rules, Policy Statements, and Advisory Opinions, </w:t>
      </w:r>
      <w:hyperlink r:id="rId84">
        <w:r w:rsidDel="00000000" w:rsidR="00000000" w:rsidRPr="00000000">
          <w:rPr>
            <w:rFonts w:ascii="Google Sans" w:cs="Google Sans" w:eastAsia="Google Sans" w:hAnsi="Google Sans"/>
            <w:color w:val="0000ee"/>
            <w:sz w:val="24"/>
            <w:szCs w:val="24"/>
            <w:u w:val="single"/>
            <w:rtl w:val="0"/>
          </w:rPr>
          <w:t xml:space="preserve">https://www.federalregister.gov/documents/2025/05/12/2025-08286/interpretive-rules-policy-statements-and-advisory-opinions-withdrawal</w:t>
        </w:r>
      </w:hyperlink>
      <w:r w:rsidDel="00000000" w:rsidR="00000000" w:rsidRPr="00000000">
        <w:rPr>
          <w:rtl w:val="0"/>
        </w:rPr>
      </w:r>
    </w:p>
    <w:p w:rsidR="00000000" w:rsidDel="00000000" w:rsidP="00000000" w:rsidRDefault="00000000" w:rsidRPr="00000000" w14:paraId="000001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Predictive Analytics in Mortgage Risk Assessment, </w:t>
      </w:r>
      <w:hyperlink r:id="rId85">
        <w:r w:rsidDel="00000000" w:rsidR="00000000" w:rsidRPr="00000000">
          <w:rPr>
            <w:rFonts w:ascii="Google Sans" w:cs="Google Sans" w:eastAsia="Google Sans" w:hAnsi="Google Sans"/>
            <w:color w:val="0000ee"/>
            <w:sz w:val="24"/>
            <w:szCs w:val="24"/>
            <w:u w:val="single"/>
            <w:rtl w:val="0"/>
          </w:rPr>
          <w:t xml:space="preserve">https://mortgageworkspace.com/blog/the-role-of-predictive-analytics-in-mortgage-risk-assessment</w:t>
        </w:r>
      </w:hyperlink>
      <w:r w:rsidDel="00000000" w:rsidR="00000000" w:rsidRPr="00000000">
        <w:rPr>
          <w:rtl w:val="0"/>
        </w:rPr>
      </w:r>
    </w:p>
    <w:p w:rsidR="00000000" w:rsidDel="00000000" w:rsidP="00000000" w:rsidRDefault="00000000" w:rsidRPr="00000000" w14:paraId="000001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Governance in Finance: The 2026 Compliance Guide | Superblocks, </w:t>
      </w:r>
      <w:hyperlink r:id="rId86">
        <w:r w:rsidDel="00000000" w:rsidR="00000000" w:rsidRPr="00000000">
          <w:rPr>
            <w:rFonts w:ascii="Google Sans" w:cs="Google Sans" w:eastAsia="Google Sans" w:hAnsi="Google Sans"/>
            <w:color w:val="0000ee"/>
            <w:sz w:val="24"/>
            <w:szCs w:val="24"/>
            <w:u w:val="single"/>
            <w:rtl w:val="0"/>
          </w:rPr>
          <w:t xml:space="preserve">https://www.superblocks.com/blog/ai-governance-in-finance</w:t>
        </w:r>
      </w:hyperlink>
      <w:r w:rsidDel="00000000" w:rsidR="00000000" w:rsidRPr="00000000">
        <w:rPr>
          <w:rtl w:val="0"/>
        </w:rPr>
      </w:r>
    </w:p>
    <w:p w:rsidR="00000000" w:rsidDel="00000000" w:rsidP="00000000" w:rsidRDefault="00000000" w:rsidRPr="00000000" w14:paraId="000001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CFPB Mandates Additional Specificity in Adverse Action ... - Cooley, </w:t>
      </w:r>
      <w:hyperlink r:id="rId87">
        <w:r w:rsidDel="00000000" w:rsidR="00000000" w:rsidRPr="00000000">
          <w:rPr>
            <w:rFonts w:ascii="Google Sans" w:cs="Google Sans" w:eastAsia="Google Sans" w:hAnsi="Google Sans"/>
            <w:color w:val="0000ee"/>
            <w:sz w:val="24"/>
            <w:szCs w:val="24"/>
            <w:u w:val="single"/>
            <w:rtl w:val="0"/>
          </w:rPr>
          <w:t xml:space="preserve">https://www.cooley.com/news/insight/2023/2023-09-25-cfpb-mandates-additional-specificity-in-adverse-action-communications-based-on-ai-or-complex-credit-models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84" Type="http://schemas.openxmlformats.org/officeDocument/2006/relationships/hyperlink" Target="https://www.federalregister.gov/documents/2025/05/12/2025-08286/interpretive-rules-policy-statements-and-advisory-opinions-withdrawal" TargetMode="External"/><Relationship Id="rId83" Type="http://schemas.openxmlformats.org/officeDocument/2006/relationships/hyperlink" Target="https://artificialintelligenceact.eu/annex/3/" TargetMode="External"/><Relationship Id="rId42" Type="http://schemas.openxmlformats.org/officeDocument/2006/relationships/image" Target="media/image8.png"/><Relationship Id="rId86" Type="http://schemas.openxmlformats.org/officeDocument/2006/relationships/hyperlink" Target="https://www.superblocks.com/blog/ai-governance-in-finance" TargetMode="External"/><Relationship Id="rId41" Type="http://schemas.openxmlformats.org/officeDocument/2006/relationships/image" Target="media/image5.png"/><Relationship Id="rId85" Type="http://schemas.openxmlformats.org/officeDocument/2006/relationships/hyperlink" Target="https://mortgageworkspace.com/blog/the-role-of-predictive-analytics-in-mortgage-risk-assessment" TargetMode="External"/><Relationship Id="rId44" Type="http://schemas.openxmlformats.org/officeDocument/2006/relationships/image" Target="media/image13.png"/><Relationship Id="rId43" Type="http://schemas.openxmlformats.org/officeDocument/2006/relationships/image" Target="media/image2.png"/><Relationship Id="rId87" Type="http://schemas.openxmlformats.org/officeDocument/2006/relationships/hyperlink" Target="https://www.cooley.com/news/insight/2023/2023-09-25-cfpb-mandates-additional-specificity-in-adverse-action-communications-based-on-ai-or-complex-credit-models" TargetMode="External"/><Relationship Id="rId46" Type="http://schemas.openxmlformats.org/officeDocument/2006/relationships/image" Target="media/image3.png"/><Relationship Id="rId45" Type="http://schemas.openxmlformats.org/officeDocument/2006/relationships/image" Target="media/image7.png"/><Relationship Id="rId80" Type="http://schemas.openxmlformats.org/officeDocument/2006/relationships/hyperlink" Target="https://files.consumerfinance.gov/f/documents/cfpb_adverse_action_notice_circular_2023-09.pdf" TargetMode="External"/><Relationship Id="rId82" Type="http://schemas.openxmlformats.org/officeDocument/2006/relationships/hyperlink" Target="https://banking.vision/en/high-risk-ai-in-banking" TargetMode="External"/><Relationship Id="rId81" Type="http://schemas.openxmlformats.org/officeDocument/2006/relationships/hyperlink" Target="https://www.promptfoo.dev/docs/red-team/eu-ai-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image" Target="media/image45.png"/><Relationship Id="rId47" Type="http://schemas.openxmlformats.org/officeDocument/2006/relationships/image" Target="media/image1.png"/><Relationship Id="rId49" Type="http://schemas.openxmlformats.org/officeDocument/2006/relationships/image" Target="media/image44.png"/><Relationship Id="rId5" Type="http://schemas.openxmlformats.org/officeDocument/2006/relationships/styles" Target="styles.xml"/><Relationship Id="rId6" Type="http://schemas.openxmlformats.org/officeDocument/2006/relationships/image" Target="media/image29.png"/><Relationship Id="rId7" Type="http://schemas.openxmlformats.org/officeDocument/2006/relationships/image" Target="media/image33.png"/><Relationship Id="rId8" Type="http://schemas.openxmlformats.org/officeDocument/2006/relationships/image" Target="media/image9.png"/><Relationship Id="rId73" Type="http://schemas.openxmlformats.org/officeDocument/2006/relationships/hyperlink" Target="https://dev.to/deepak_mishra_35863517037/scaling-headless-browsers-managing-contexts-vs-instances-1d73" TargetMode="External"/><Relationship Id="rId72" Type="http://schemas.openxmlformats.org/officeDocument/2006/relationships/hyperlink" Target="https://stackoverflow.com/questions/26819928/allowing-external-access-through-firewall-to-django-in-windows" TargetMode="External"/><Relationship Id="rId31" Type="http://schemas.openxmlformats.org/officeDocument/2006/relationships/image" Target="media/image34.png"/><Relationship Id="rId75" Type="http://schemas.openxmlformats.org/officeDocument/2006/relationships/hyperlink" Target="https://playwright.dev/docs/release-notes" TargetMode="External"/><Relationship Id="rId30" Type="http://schemas.openxmlformats.org/officeDocument/2006/relationships/image" Target="media/image17.png"/><Relationship Id="rId74" Type="http://schemas.openxmlformats.org/officeDocument/2006/relationships/hyperlink" Target="https://spidra.io/blog/playwright-browsercontext" TargetMode="External"/><Relationship Id="rId33" Type="http://schemas.openxmlformats.org/officeDocument/2006/relationships/image" Target="media/image20.png"/><Relationship Id="rId77" Type="http://schemas.openxmlformats.org/officeDocument/2006/relationships/hyperlink" Target="https://www.pnas.org/doi/10.1073/pnas.1115960108" TargetMode="External"/><Relationship Id="rId32" Type="http://schemas.openxmlformats.org/officeDocument/2006/relationships/image" Target="media/image4.png"/><Relationship Id="rId76" Type="http://schemas.openxmlformats.org/officeDocument/2006/relationships/hyperlink" Target="https://www.jmlr.org/papers/volume24/22-0744/22-0744.pdf" TargetMode="External"/><Relationship Id="rId35" Type="http://schemas.openxmlformats.org/officeDocument/2006/relationships/image" Target="media/image19.png"/><Relationship Id="rId79" Type="http://schemas.openxmlformats.org/officeDocument/2006/relationships/hyperlink" Target="https://arxiv.org/pdf/2509.00938" TargetMode="External"/><Relationship Id="rId34" Type="http://schemas.openxmlformats.org/officeDocument/2006/relationships/image" Target="media/image25.png"/><Relationship Id="rId78" Type="http://schemas.openxmlformats.org/officeDocument/2006/relationships/hyperlink" Target="https://arxiv.org/html/0903.1072v2" TargetMode="External"/><Relationship Id="rId71" Type="http://schemas.openxmlformats.org/officeDocument/2006/relationships/hyperlink" Target="https://codingstella.com/how-to-make-cyber-dodge-game-using-react/" TargetMode="External"/><Relationship Id="rId70" Type="http://schemas.openxmlformats.org/officeDocument/2006/relationships/hyperlink" Target="https://explainx.ai/skills/martinholovsky/claude-skills-generator/web-audio-api" TargetMode="External"/><Relationship Id="rId37" Type="http://schemas.openxmlformats.org/officeDocument/2006/relationships/image" Target="media/image28.png"/><Relationship Id="rId36" Type="http://schemas.openxmlformats.org/officeDocument/2006/relationships/image" Target="media/image16.png"/><Relationship Id="rId39" Type="http://schemas.openxmlformats.org/officeDocument/2006/relationships/image" Target="media/image43.png"/><Relationship Id="rId38" Type="http://schemas.openxmlformats.org/officeDocument/2006/relationships/image" Target="media/image32.png"/><Relationship Id="rId62" Type="http://schemas.openxmlformats.org/officeDocument/2006/relationships/image" Target="media/image6.png"/><Relationship Id="rId61" Type="http://schemas.openxmlformats.org/officeDocument/2006/relationships/image" Target="media/image15.png"/><Relationship Id="rId20" Type="http://schemas.openxmlformats.org/officeDocument/2006/relationships/image" Target="media/image54.png"/><Relationship Id="rId64" Type="http://schemas.openxmlformats.org/officeDocument/2006/relationships/image" Target="media/image18.png"/><Relationship Id="rId63" Type="http://schemas.openxmlformats.org/officeDocument/2006/relationships/image" Target="media/image14.png"/><Relationship Id="rId22" Type="http://schemas.openxmlformats.org/officeDocument/2006/relationships/image" Target="media/image57.png"/><Relationship Id="rId66" Type="http://schemas.openxmlformats.org/officeDocument/2006/relationships/hyperlink" Target="https://smithery.ai/skills/Dexploarer/threejs-scene-builder" TargetMode="External"/><Relationship Id="rId21" Type="http://schemas.openxmlformats.org/officeDocument/2006/relationships/image" Target="media/image55.png"/><Relationship Id="rId65" Type="http://schemas.openxmlformats.org/officeDocument/2006/relationships/hyperlink" Target="https://digitalstrategyforce.com/journal/how-do-you-optimize-threejs-performance-for-mobile-devices/" TargetMode="External"/><Relationship Id="rId24" Type="http://schemas.openxmlformats.org/officeDocument/2006/relationships/image" Target="media/image30.png"/><Relationship Id="rId68" Type="http://schemas.openxmlformats.org/officeDocument/2006/relationships/hyperlink" Target="https://threejs.org/docs/pages/BatchedMesh.html" TargetMode="External"/><Relationship Id="rId23" Type="http://schemas.openxmlformats.org/officeDocument/2006/relationships/image" Target="media/image56.png"/><Relationship Id="rId67" Type="http://schemas.openxmlformats.org/officeDocument/2006/relationships/hyperlink" Target="https://learnwithhasan.com/threejs-guide/" TargetMode="External"/><Relationship Id="rId60" Type="http://schemas.openxmlformats.org/officeDocument/2006/relationships/image" Target="media/image12.png"/><Relationship Id="rId26" Type="http://schemas.openxmlformats.org/officeDocument/2006/relationships/image" Target="media/image23.png"/><Relationship Id="rId25" Type="http://schemas.openxmlformats.org/officeDocument/2006/relationships/image" Target="media/image11.png"/><Relationship Id="rId69" Type="http://schemas.openxmlformats.org/officeDocument/2006/relationships/hyperlink" Target="https://threejs.org/docs/index.html?q=PointsMaterial" TargetMode="External"/><Relationship Id="rId28" Type="http://schemas.openxmlformats.org/officeDocument/2006/relationships/image" Target="media/image31.png"/><Relationship Id="rId27" Type="http://schemas.openxmlformats.org/officeDocument/2006/relationships/image" Target="media/image22.png"/><Relationship Id="rId29" Type="http://schemas.openxmlformats.org/officeDocument/2006/relationships/image" Target="media/image27.png"/><Relationship Id="rId51" Type="http://schemas.openxmlformats.org/officeDocument/2006/relationships/image" Target="media/image39.png"/><Relationship Id="rId50" Type="http://schemas.openxmlformats.org/officeDocument/2006/relationships/image" Target="media/image26.png"/><Relationship Id="rId53" Type="http://schemas.openxmlformats.org/officeDocument/2006/relationships/image" Target="media/image47.png"/><Relationship Id="rId52" Type="http://schemas.openxmlformats.org/officeDocument/2006/relationships/image" Target="media/image40.png"/><Relationship Id="rId11" Type="http://schemas.openxmlformats.org/officeDocument/2006/relationships/image" Target="media/image41.png"/><Relationship Id="rId55" Type="http://schemas.openxmlformats.org/officeDocument/2006/relationships/image" Target="media/image53.png"/><Relationship Id="rId10" Type="http://schemas.openxmlformats.org/officeDocument/2006/relationships/image" Target="media/image49.png"/><Relationship Id="rId54" Type="http://schemas.openxmlformats.org/officeDocument/2006/relationships/image" Target="media/image51.png"/><Relationship Id="rId13" Type="http://schemas.openxmlformats.org/officeDocument/2006/relationships/image" Target="media/image37.png"/><Relationship Id="rId57" Type="http://schemas.openxmlformats.org/officeDocument/2006/relationships/image" Target="media/image52.png"/><Relationship Id="rId12" Type="http://schemas.openxmlformats.org/officeDocument/2006/relationships/image" Target="media/image35.png"/><Relationship Id="rId56" Type="http://schemas.openxmlformats.org/officeDocument/2006/relationships/image" Target="media/image36.png"/><Relationship Id="rId15" Type="http://schemas.openxmlformats.org/officeDocument/2006/relationships/image" Target="media/image38.png"/><Relationship Id="rId59" Type="http://schemas.openxmlformats.org/officeDocument/2006/relationships/image" Target="media/image24.png"/><Relationship Id="rId14" Type="http://schemas.openxmlformats.org/officeDocument/2006/relationships/image" Target="media/image50.png"/><Relationship Id="rId58" Type="http://schemas.openxmlformats.org/officeDocument/2006/relationships/image" Target="media/image21.png"/><Relationship Id="rId17" Type="http://schemas.openxmlformats.org/officeDocument/2006/relationships/image" Target="media/image59.png"/><Relationship Id="rId16" Type="http://schemas.openxmlformats.org/officeDocument/2006/relationships/image" Target="media/image58.png"/><Relationship Id="rId19" Type="http://schemas.openxmlformats.org/officeDocument/2006/relationships/image" Target="media/image46.png"/><Relationship Id="rId18" Type="http://schemas.openxmlformats.org/officeDocument/2006/relationships/image" Target="media/image4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