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UNIVERSIDAD NACIONAL DE CONCEPCIÓN</w:t>
      </w:r>
    </w:p>
    <w:p>
      <w:r>
        <w:rPr>
          <w:b w:val="0"/>
        </w:rPr>
        <w:t>FACULTAD DE CIENCIAS ECONÓMICAS Y ADMINISTRATIVAS</w:t>
      </w:r>
    </w:p>
    <w:p>
      <w:r>
        <w:rPr>
          <w:b w:val="0"/>
        </w:rPr>
        <w:t>Ingeniería en Informática Empresarial</w:t>
      </w:r>
    </w:p>
    <w:p>
      <w:pPr>
        <w:pStyle w:val="Title"/>
      </w:pPr>
      <w:r>
        <w:t>FCEA-Datasys</w:t>
      </w:r>
    </w:p>
    <w:p>
      <w:r>
        <w:rPr>
          <w:b/>
        </w:rPr>
        <w:t>Desarrollo de un catálogo bibliográfico digital para la FCEA-UNC</w:t>
      </w:r>
    </w:p>
    <w:p>
      <w:r>
        <w:rPr>
          <w:b w:val="0"/>
        </w:rPr>
        <w:t>Documento del proyecto y material de defensa</w:t>
      </w:r>
    </w:p>
    <w:p>
      <w:r>
        <w:rPr>
          <w:b w:val="0"/>
        </w:rPr>
        <w:t>Trabajo Práctico Final de Ingeniería de Software I</w:t>
      </w:r>
    </w:p>
    <w:p>
      <w:pPr>
        <w:pStyle w:val="Heading2"/>
      </w:pPr>
      <w:r>
        <w:t>Docentes</w:t>
      </w:r>
    </w:p>
    <w:p>
      <w:r>
        <w:rPr>
          <w:b w:val="0"/>
        </w:rPr>
        <w:t>Prof. Lic. María Del Rosario Zorrilla A., Mg.</w:t>
        <w:br/>
        <w:t>Prof. Ing. Juan Benito Torres Báez, Mg.</w:t>
      </w:r>
    </w:p>
    <w:p>
      <w:pPr>
        <w:pStyle w:val="Heading2"/>
      </w:pPr>
      <w:r>
        <w:t>Integrantes</w:t>
      </w:r>
    </w:p>
    <w:p>
      <w:r>
        <w:rPr>
          <w:b w:val="0"/>
        </w:rPr>
        <w:t>Alan Gabriel Cabrera Villalba</w:t>
      </w:r>
    </w:p>
    <w:p>
      <w:r>
        <w:rPr>
          <w:b w:val="0"/>
        </w:rPr>
        <w:t>Ivan Ramon Duarte Villar</w:t>
      </w:r>
    </w:p>
    <w:p>
      <w:r>
        <w:rPr>
          <w:b w:val="0"/>
        </w:rPr>
        <w:t>Fabrizio Ruben Larrosa Miranda</w:t>
      </w:r>
    </w:p>
    <w:p>
      <w:r>
        <w:rPr>
          <w:b w:val="0"/>
        </w:rPr>
        <w:t>Thiago Mathias Torres Montania</w:t>
      </w:r>
    </w:p>
    <w:p>
      <w:r>
        <w:rPr>
          <w:b w:val="0"/>
        </w:rPr>
        <w:t>Alan Amin Bogarín Godoy</w:t>
      </w:r>
    </w:p>
    <w:p>
      <w:r>
        <w:rPr>
          <w:b w:val="0"/>
        </w:rPr>
        <w:t>Edgar Ibañez Meza</w:t>
      </w:r>
    </w:p>
    <w:p>
      <w:r>
        <w:rPr>
          <w:b w:val="0"/>
        </w:rPr>
        <w:t>Concepción, Paraguay</w:t>
        <w:br/>
        <w:t>Octubre de 2026</w:t>
      </w:r>
    </w:p>
    <w:p>
      <w:r>
        <w:br w:type="page"/>
      </w:r>
    </w:p>
    <w:p>
      <w:pPr>
        <w:pStyle w:val="Heading1"/>
      </w:pPr>
      <w:r>
        <w:t>1. Propósito, alcance y objetivos</w:t>
      </w:r>
    </w:p>
    <w:p>
      <w:pPr>
        <w:pStyle w:val="Heading2"/>
      </w:pPr>
      <w:r>
        <w:t>Problema institucional</w:t>
      </w:r>
    </w:p>
    <w:p>
      <w:r>
        <w:rPr>
          <w:b w:val="0"/>
        </w:rPr>
        <w:t>Las producciones académicas y científicas se conservan en dependencias y carpetas separadas. Esto dificulta localizar antecedentes, uniformar sus datos y mantener una consulta institucional con control de acceso.</w:t>
      </w:r>
    </w:p>
    <w:p>
      <w:r>
        <w:rPr>
          <w:b w:val="0"/>
        </w:rPr>
        <w:t>La Dirección de Investigación coordina el catálogo con Biblioteca y TIC. El sistema registra trabajos una vez aprobados fuera del software. La evaluación académica pertenece al procedimiento institucional externo.</w:t>
      </w:r>
    </w:p>
    <w:p>
      <w:pPr>
        <w:pStyle w:val="Heading2"/>
      </w:pPr>
      <w:r>
        <w:t>Objetivo general</w:t>
      </w:r>
    </w:p>
    <w:p>
      <w:r>
        <w:rPr>
          <w:b w:val="0"/>
        </w:rPr>
        <w:t>Organizar, preservar y facilitar la consulta de los metadatos de la producción académica y científica aprobada de la FCEA-UNC mediante un catálogo bibliográfico digital con acceso controlado.</w:t>
      </w:r>
    </w:p>
    <w:p>
      <w:pPr>
        <w:pStyle w:val="Heading2"/>
      </w:pPr>
      <w:r>
        <w:t>Objetivos específicos</w:t>
      </w:r>
    </w:p>
    <w:p>
      <w:r>
        <w:rPr>
          <w:b w:val="0"/>
        </w:rPr>
        <w:t>1. Registrar trabajos con uno o más autores y tutores, clasificación académica, resumen en español, abstract en inglés y palabras clave.</w:t>
      </w:r>
    </w:p>
    <w:p>
      <w:r>
        <w:rPr>
          <w:b w:val="0"/>
        </w:rPr>
        <w:t>2. Conservar el orden de autoría y reutilizar personas y clasificaciones sin duplicarlas.</w:t>
      </w:r>
    </w:p>
    <w:p>
      <w:r>
        <w:rPr>
          <w:b w:val="0"/>
        </w:rPr>
        <w:t>3. Permitir búsquedas y filtros para localizar antecedentes bibliográficos.</w:t>
      </w:r>
    </w:p>
    <w:p>
      <w:r>
        <w:rPr>
          <w:b w:val="0"/>
        </w:rPr>
        <w:t>4. Controlar cuentas, permisos, sesiones y acceso a documentos.</w:t>
      </w:r>
    </w:p>
    <w:p>
      <w:r>
        <w:rPr>
          <w:b w:val="0"/>
        </w:rPr>
        <w:t>5. Validar duplicados, formatos y contenido de adjuntos antes de habilitarlos.</w:t>
      </w:r>
    </w:p>
    <w:p>
      <w:r>
        <w:rPr>
          <w:b w:val="0"/>
        </w:rPr>
        <w:t>6. Emitir reportes PDF y Excel y conservar auditoría inmutable de las operaciones.</w:t>
      </w:r>
    </w:p>
    <w:p>
      <w:r>
        <w:rPr>
          <w:b w:val="0"/>
        </w:rPr>
        <w:t>7. Facilitar copias de la base y su recuperación mediante procedimientos administrados por TIC.</w:t>
      </w:r>
    </w:p>
    <w:p>
      <w:pPr>
        <w:pStyle w:val="Heading2"/>
      </w:pPr>
      <w:r>
        <w:t>Alcance operativo</w:t>
      </w:r>
    </w:p>
    <w:p>
      <w:r>
        <w:rPr>
          <w:b w:val="0"/>
        </w:rPr>
        <w:t>Publicaciones locales y externas, personas y clasificaciones reutilizables, usuarios, permisos efectivos, búsqueda, archivos, reportes, auditoría, copias y recuperación. La inactivación conserva el historial.</w:t>
      </w:r>
    </w:p>
    <w:p>
      <w:r>
        <w:br w:type="page"/>
      </w:r>
    </w:p>
    <w:p>
      <w:pPr>
        <w:pStyle w:val="Heading1"/>
      </w:pPr>
      <w:r>
        <w:t>2. Requerimientos funcionales</w:t>
      </w:r>
    </w:p>
    <w:p>
      <w:r>
        <w:rPr>
          <w:b w:val="0"/>
        </w:rPr>
        <w:t>Los rótulos RF organizan esta síntesis. Los contratos HTTP y los códigos de error se mantienen en server/docs/API.md.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7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718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Comportamiento requerido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RF01</w:t>
            </w:r>
          </w:p>
        </w:tc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Acceso y sesiones</w:t>
            </w:r>
          </w:p>
        </w:tc>
        <w:tc>
          <w:tcPr>
            <w:tcW w:type="dxa" w:w="718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Iniciar y cerrar sesión. Bloquear por usuario cinco minutos tras tres fallos consecutivos. Registrar accesos y tiempos de sesión.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RF02</w:t>
            </w:r>
          </w:p>
        </w:tc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Cuentas y roles</w:t>
            </w:r>
          </w:p>
        </w:tc>
        <w:tc>
          <w:tcPr>
            <w:tcW w:type="dxa" w:w="718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Crear, consultar, modificar e inactivar usuarios con CI, correo y usuario únicos. Aplicar restricciones de privilegios.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RF03</w:t>
            </w:r>
          </w:p>
        </w:tc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Permisos efectivos</w:t>
            </w:r>
          </w:p>
        </w:tc>
        <w:tc>
          <w:tcPr>
            <w:tcW w:type="dxa" w:w="718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Configurar permisos por rol y excepciones por cuenta. Mantener al menos un Administrador activo con permissions.manage.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RF04</w:t>
            </w:r>
          </w:p>
        </w:tc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Registro de publicaciones</w:t>
            </w:r>
          </w:p>
        </w:tc>
        <w:tc>
          <w:tcPr>
            <w:tcW w:type="dxa" w:w="718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Guardar título, autores, carrera, nivel, tipo, tutores, resumen, abstract, palabras clave, filial y archivo o URL según modalidad.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RF05</w:t>
            </w:r>
          </w:p>
        </w:tc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Cambios e historial</w:t>
            </w:r>
          </w:p>
        </w:tc>
        <w:tc>
          <w:tcPr>
            <w:tcW w:type="dxa" w:w="718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Modificar metadatos con control de versión. Inactivar publicaciones conservando sus datos históricos.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RF06</w:t>
            </w:r>
          </w:p>
        </w:tc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Autores y tutores</w:t>
            </w:r>
          </w:p>
        </w:tc>
        <w:tc>
          <w:tcPr>
            <w:tcW w:type="dxa" w:w="718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Mantener entidades reutilizables y relaciones N:M. Impedir personas repetidas en un trabajo y conservar orden de autoría.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RF07</w:t>
            </w:r>
          </w:p>
        </w:tc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Consulta bibliográfica</w:t>
            </w:r>
          </w:p>
        </w:tc>
        <w:tc>
          <w:tcPr>
            <w:tcW w:type="dxa" w:w="718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Buscar en español e inglés y combinar filtros por carrera, nivel, tipo, filial, año, autor y tutor, con paginación.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RF08</w:t>
            </w:r>
          </w:p>
        </w:tc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Validación de duplicados</w:t>
            </w:r>
          </w:p>
        </w:tc>
        <w:tc>
          <w:tcPr>
            <w:tcW w:type="dxa" w:w="718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Normalizar y comparar título, resumen y abstract. Rechazar duplicados y hashes de adjuntos reutilizados.</w:t>
            </w:r>
          </w:p>
        </w:tc>
      </w:tr>
    </w:tbl>
    <w:p/>
    <w:p>
      <w:r>
        <w:br w:type="page"/>
      </w:r>
    </w:p>
    <w:p>
      <w:pPr>
        <w:pStyle w:val="Heading1"/>
      </w:pPr>
      <w:r>
        <w:t>2. Requerimientos funcionales (continuación)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7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718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Comportamiento requerido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RF09</w:t>
            </w:r>
          </w:p>
        </w:tc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Catálogos y parámetros</w:t>
            </w:r>
          </w:p>
        </w:tc>
        <w:tc>
          <w:tcPr>
            <w:tcW w:type="dxa" w:w="718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Administrar clasificaciones activas e históricas. Configurar límite del resumen, formatos y tamaño permitido de archivos.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RF10</w:t>
            </w:r>
          </w:p>
        </w:tc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Adjuntos y referencias</w:t>
            </w:r>
          </w:p>
        </w:tc>
        <w:tc>
          <w:tcPr>
            <w:tcW w:type="dxa" w:w="718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Validar contenido y nombre, calcular hash y analizar con ClamAV. Guardar en almacenamiento privado y autorizar descargas.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RF11</w:t>
            </w:r>
          </w:p>
        </w:tc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Reportes bibliográficos</w:t>
            </w:r>
          </w:p>
        </w:tc>
        <w:tc>
          <w:tcPr>
            <w:tcW w:type="dxa" w:w="718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Consultar por fechas, carrera, nivel y demás filtros. Exportar PDF y Excel del conjunto validado. Sin resultados, devolver datos vacíos y no generar archivo.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RF12</w:t>
            </w:r>
          </w:p>
        </w:tc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Auditoría</w:t>
            </w:r>
          </w:p>
        </w:tc>
        <w:tc>
          <w:tcPr>
            <w:tcW w:type="dxa" w:w="718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Registrar operaciones y rechazos con actor, sesión, recurso, fecha, resultado y cambios. Consultar, filtrar y exportar sin permitir edición o borrado.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RF13</w:t>
            </w:r>
          </w:p>
        </w:tc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Copia manual</w:t>
            </w:r>
          </w:p>
        </w:tc>
        <w:tc>
          <w:tcPr>
            <w:tcW w:type="dxa" w:w="718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Respaldar PostgreSQL desde la ventana de copias o por comando. Comprobar índice y hash, y mostrar resultado en el historial.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RF14</w:t>
            </w:r>
          </w:p>
        </w:tc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Copia automática y nube</w:t>
            </w:r>
          </w:p>
        </w:tc>
        <w:tc>
          <w:tcPr>
            <w:tcW w:type="dxa" w:w="718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Ejecutar copias por tarea diaria Windows o cron Linux. Subir a Drive con OAuth y verificar metadatos del archivo remoto.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RF15</w:t>
            </w:r>
          </w:p>
        </w:tc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Recuperación</w:t>
            </w:r>
          </w:p>
        </w:tc>
        <w:tc>
          <w:tcPr>
            <w:tcW w:type="dxa" w:w="718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Restaurar por asistente local, con confirmación y verificación previa. Conservar la base anterior y restablecer permisos técnicos.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RF16</w:t>
            </w:r>
          </w:p>
        </w:tc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Cuenta propia</w:t>
            </w:r>
          </w:p>
        </w:tc>
        <w:tc>
          <w:tcPr>
            <w:tcW w:type="dxa" w:w="718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Consultar perfil, actualizar datos permitidos, cambiar contraseña y solicitar recuperación por correo cuando SMTP esté configurado.</w:t>
            </w:r>
          </w:p>
        </w:tc>
      </w:tr>
    </w:tbl>
    <w:p/>
    <w:p>
      <w:r>
        <w:br w:type="page"/>
      </w:r>
    </w:p>
    <w:p>
      <w:pPr>
        <w:pStyle w:val="Heading1"/>
      </w:pPr>
      <w:r>
        <w:t>3. Reglas, acceso e integridad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/>
        </w:trPr>
        <w:tc>
          <w:tcPr>
            <w:tcW w:type="dxa" w:w="381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Acción inicial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Administrador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Digitador</w:t>
            </w:r>
          </w:p>
        </w:tc>
        <w:tc>
          <w:tcPr>
            <w:tcW w:type="dxa" w:w="185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Público</w:t>
            </w:r>
          </w:p>
        </w:tc>
      </w:tr>
      <w:tr>
        <w:tc>
          <w:tcPr>
            <w:tcW w:type="dxa" w:w="381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Consultar y buscar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Sí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Sí</w:t>
            </w:r>
          </w:p>
        </w:tc>
        <w:tc>
          <w:tcPr>
            <w:tcW w:type="dxa" w:w="185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Sí</w:t>
            </w:r>
          </w:p>
        </w:tc>
      </w:tr>
      <w:tr>
        <w:tc>
          <w:tcPr>
            <w:tcW w:type="dxa" w:w="381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Registrar y editar publicaciones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Sí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Sí</w:t>
            </w:r>
          </w:p>
        </w:tc>
        <w:tc>
          <w:tcPr>
            <w:tcW w:type="dxa" w:w="185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No</w:t>
            </w:r>
          </w:p>
        </w:tc>
      </w:tr>
      <w:tr>
        <w:tc>
          <w:tcPr>
            <w:tcW w:type="dxa" w:w="381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Descargar adjuntos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Sí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Sí</w:t>
            </w:r>
          </w:p>
        </w:tc>
        <w:tc>
          <w:tcPr>
            <w:tcW w:type="dxa" w:w="185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No</w:t>
            </w:r>
          </w:p>
        </w:tc>
      </w:tr>
      <w:tr>
        <w:tc>
          <w:tcPr>
            <w:tcW w:type="dxa" w:w="381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Inactivar publicaciones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Sí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No</w:t>
            </w:r>
          </w:p>
        </w:tc>
        <w:tc>
          <w:tcPr>
            <w:tcW w:type="dxa" w:w="185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No</w:t>
            </w:r>
          </w:p>
        </w:tc>
      </w:tr>
      <w:tr>
        <w:tc>
          <w:tcPr>
            <w:tcW w:type="dxa" w:w="381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Gestionar cuentas y parámetros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Sí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No</w:t>
            </w:r>
          </w:p>
        </w:tc>
        <w:tc>
          <w:tcPr>
            <w:tcW w:type="dxa" w:w="185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No</w:t>
            </w:r>
          </w:p>
        </w:tc>
      </w:tr>
      <w:tr>
        <w:tc>
          <w:tcPr>
            <w:tcW w:type="dxa" w:w="381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Reportes y auditoría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Sí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Según delegación</w:t>
            </w:r>
          </w:p>
        </w:tc>
        <w:tc>
          <w:tcPr>
            <w:tcW w:type="dxa" w:w="185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Según delegación</w:t>
            </w:r>
          </w:p>
        </w:tc>
      </w:tr>
      <w:tr>
        <w:tc>
          <w:tcPr>
            <w:tcW w:type="dxa" w:w="381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Gestionar permisos y copias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Rol y permiso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No</w:t>
            </w:r>
          </w:p>
        </w:tc>
        <w:tc>
          <w:tcPr>
            <w:tcW w:type="dxa" w:w="185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No</w:t>
            </w:r>
          </w:p>
        </w:tc>
      </w:tr>
    </w:tbl>
    <w:p/>
    <w:p>
      <w:r>
        <w:rPr>
          <w:b w:val="0"/>
        </w:rPr>
        <w:t>Los valores iniciales pueden modificarse mediante permisos por rol y excepciones por cuenta. Administrar permisos y ejecutar copias exige siempre rol Administrador y el permiso correspondiente. Un gestor de usuarios sin permissions.manage no puede asignar otro rol ni modificar cuentas superiores.</w:t>
      </w:r>
    </w:p>
    <w:p>
      <w:r>
        <w:rPr>
          <w:b w:val="0"/>
        </w:rPr>
        <w:t>El resumen admite como máximo el límite configurado, inicialmente 300 palabras. La comparación de duplicados normaliza Unicode, acentos, mayúsculas, espacios y puntuación. Las restricciones únicas y los bloqueos de PostgreSQL protegen las operaciones concurrentes.</w:t>
      </w:r>
    </w:p>
    <w:p>
      <w:r>
        <w:rPr>
          <w:b w:val="0"/>
        </w:rPr>
        <w:t>Los archivos empiezan habilitados como PDF. Se valida contenido, formato, tamaño, nombre y hash, se ejecuta ClamAV y se guarda el archivo en privado. Público consulta metadatos y no descarga adjuntos con sus permisos iniciales.</w:t>
      </w:r>
    </w:p>
    <w:p>
      <w:r>
        <w:rPr>
          <w:b w:val="0"/>
        </w:rPr>
        <w:t>Cada cambio protegido debe confirmar su auditoría. Si falla ese registro, la operación se cancela. Las publicaciones se inactivan para conservar el historial; los logs son inmutables.</w:t>
      </w:r>
    </w:p>
    <w:p>
      <w:r>
        <w:rPr>
          <w:b w:val="0"/>
        </w:rPr>
        <w:t>Requisitos de calidad: API versionada, paginación, Problem Details, HTTPS en producción y sesiones revocables. Búsqueda: objetivo de hasta 1,5 segundos en escenarios de prueba definidos, sujeto a medición del entorno. No se acredita disponibilidad institucional con una ejecución local.</w:t>
      </w:r>
    </w:p>
    <w:p>
      <w:r>
        <w:br w:type="page"/>
      </w:r>
    </w:p>
    <w:p>
      <w:pPr>
        <w:pStyle w:val="Heading1"/>
      </w:pPr>
      <w:r>
        <w:t>4. Herramientas de desarrollo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237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Uso en el sistema</w:t>
            </w:r>
          </w:p>
        </w:tc>
        <w:tc>
          <w:tcPr>
            <w:tcW w:type="dxa" w:w="502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React 19, TypeScript y Vite 7</w:t>
            </w:r>
          </w:p>
        </w:tc>
        <w:tc>
          <w:tcPr>
            <w:tcW w:type="dxa" w:w="2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Cliente web, formularios y compilación</w:t>
            </w:r>
          </w:p>
        </w:tc>
        <w:tc>
          <w:tcPr>
            <w:tcW w:type="dxa" w:w="502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Componentes reutilizables y tipos para mantener las vistas y contratos.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Node.js 24.11+ (&lt;25)</w:t>
            </w:r>
          </w:p>
        </w:tc>
        <w:tc>
          <w:tcPr>
            <w:tcW w:type="dxa" w:w="2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Lanzador, API y comandos</w:t>
            </w:r>
          </w:p>
        </w:tc>
        <w:tc>
          <w:tcPr>
            <w:tcW w:type="dxa" w:w="502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Mismo entorno de ejecución para Windows y Linux.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Fastify 5 y Zod 4</w:t>
            </w:r>
          </w:p>
        </w:tc>
        <w:tc>
          <w:tcPr>
            <w:tcW w:type="dxa" w:w="2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API /api/v1 y validación</w:t>
            </w:r>
          </w:p>
        </w:tc>
        <w:tc>
          <w:tcPr>
            <w:tcW w:type="dxa" w:w="502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Validación estricta y respuestas HTTP consistentes.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PostgreSQL 18 y Prisma 7</w:t>
            </w:r>
          </w:p>
        </w:tc>
        <w:tc>
          <w:tcPr>
            <w:tcW w:type="dxa" w:w="2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Datos y migraciones</w:t>
            </w:r>
          </w:p>
        </w:tc>
        <w:tc>
          <w:tcPr>
            <w:tcW w:type="dxa" w:w="502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Relaciones, transacciones, restricciones únicas y búsqueda de texto completo.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Argon2id y JWT</w:t>
            </w:r>
          </w:p>
        </w:tc>
        <w:tc>
          <w:tcPr>
            <w:tcW w:type="dxa" w:w="2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Credenciales y sesiones</w:t>
            </w:r>
          </w:p>
        </w:tc>
        <w:tc>
          <w:tcPr>
            <w:tcW w:type="dxa" w:w="502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Hash seguro y acceso temporal sujeto a revocación del servidor.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ClamAV</w:t>
            </w:r>
          </w:p>
        </w:tc>
        <w:tc>
          <w:tcPr>
            <w:tcW w:type="dxa" w:w="2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Análisis de adjuntos</w:t>
            </w:r>
          </w:p>
        </w:tc>
        <w:tc>
          <w:tcPr>
            <w:tcW w:type="dxa" w:w="502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Antimalware gratuito con firmas actualizables.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PDFKit y ExcelJS</w:t>
            </w:r>
          </w:p>
        </w:tc>
        <w:tc>
          <w:tcPr>
            <w:tcW w:type="dxa" w:w="2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Reportes del servidor</w:t>
            </w:r>
          </w:p>
        </w:tc>
        <w:tc>
          <w:tcPr>
            <w:tcW w:type="dxa" w:w="502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Generación PDF y XLSX sin Office en el servidor.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pg_dump y pg_restore</w:t>
            </w:r>
          </w:p>
        </w:tc>
        <w:tc>
          <w:tcPr>
            <w:tcW w:type="dxa" w:w="2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Backup y recuperación</w:t>
            </w:r>
          </w:p>
        </w:tc>
        <w:tc>
          <w:tcPr>
            <w:tcW w:type="dxa" w:w="502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Formato custom, índice verificable y restauración transaccional.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Google Drive API v3</w:t>
            </w:r>
          </w:p>
        </w:tc>
        <w:tc>
          <w:tcPr>
            <w:tcW w:type="dxa" w:w="2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Copia remota</w:t>
            </w:r>
          </w:p>
        </w:tc>
        <w:tc>
          <w:tcPr>
            <w:tcW w:type="dxa" w:w="502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OAuth de escritorio, subida reanudable y comprobación de metadatos.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Git y npm</w:t>
            </w:r>
          </w:p>
        </w:tc>
        <w:tc>
          <w:tcPr>
            <w:tcW w:type="dxa" w:w="2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Historial y dependencias</w:t>
            </w:r>
          </w:p>
        </w:tc>
        <w:tc>
          <w:tcPr>
            <w:tcW w:type="dxa" w:w="502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Versión trazable y dependencias fijadas mediante lockfiles.</w:t>
            </w:r>
          </w:p>
        </w:tc>
      </w:tr>
    </w:tbl>
    <w:p/>
    <w:p>
      <w:r>
        <w:rPr>
          <w:b w:val="0"/>
        </w:rPr>
        <w:t>El navegador presenta la interfaz React. El gateway del lanzador entrega los recursos y reenvía las solicitudes a la API Fastify, que usa PostgreSQL y un directorio privado de adjuntos. La API permanece en loopback y el perfil de producción requiere HTTPS.</w:t>
      </w:r>
    </w:p>
    <w:p>
      <w:pPr>
        <w:sectPr>
          <w:footerReference w:type="default" r:id="rId10"/>
          <w:pgSz w:w="12240" w:h="15840"/>
          <w:pgMar w:top="1037" w:right="1123" w:bottom="1037" w:left="1123" w:header="720" w:footer="720" w:gutter="0"/>
          <w:cols w:space="720"/>
          <w:docGrid w:linePitch="360"/>
        </w:sectPr>
      </w:pPr>
    </w:p>
    <w:p>
      <w:pPr>
        <w:pStyle w:val="Heading1"/>
      </w:pPr>
      <w:r>
        <w:t>5. Cronograma de trabajo</w:t>
      </w:r>
    </w:p>
    <w:p>
      <w:r>
        <w:drawing>
          <wp:inline xmlns:a="http://schemas.openxmlformats.org/drawingml/2006/main" xmlns:pic="http://schemas.openxmlformats.org/drawingml/2006/picture">
            <wp:extent cx="8412480" cy="51269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126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Las fechas del plan son una referencia estimada. Los intervalos de ejecución delimitan hitos del historial y no representan tiempo de dedicación. El relevamiento corresponde a los avances de septiembre. La tabla editable conserva duración y dependencias.</w:t>
      </w:r>
    </w:p>
    <w:p>
      <w:pPr>
        <w:sectPr>
          <w:pgSz w:w="15840" w:h="12240" w:orient="landscape"/>
          <w:pgMar w:top="1037" w:right="1123" w:bottom="1037" w:left="1123" w:header="720" w:footer="720" w:gutter="0"/>
          <w:cols w:space="720"/>
          <w:docGrid w:linePitch="360"/>
        </w:sectPr>
      </w:pPr>
    </w:p>
    <w:p>
      <w:pPr>
        <w:pStyle w:val="Heading1"/>
      </w:pPr>
      <w:r>
        <w:t>5.1. Fechas, duración y dependencias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/>
        </w:trPr>
        <w:tc>
          <w:tcPr>
            <w:tcW w:type="dxa" w:w="35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Referencia estimada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Hitos observados</w:t>
            </w:r>
          </w:p>
        </w:tc>
        <w:tc>
          <w:tcPr>
            <w:tcW w:type="dxa" w:w="14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Días ref./obs.</w:t>
            </w:r>
          </w:p>
        </w:tc>
        <w:tc>
          <w:tcPr>
            <w:tcW w:type="dxa" w:w="15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Previa</w:t>
            </w:r>
          </w:p>
        </w:tc>
      </w:tr>
      <w:tr>
        <w:tc>
          <w:tcPr>
            <w:tcW w:type="dxa" w:w="35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T1 Arquitectura y preparación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10-05 a 10-06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10-05 a 10-06</w:t>
            </w:r>
          </w:p>
        </w:tc>
        <w:tc>
          <w:tcPr>
            <w:tcW w:type="dxa" w:w="14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2 / 2</w:t>
            </w:r>
          </w:p>
        </w:tc>
        <w:tc>
          <w:tcPr>
            <w:tcW w:type="dxa" w:w="15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Relevamiento</w:t>
            </w:r>
          </w:p>
        </w:tc>
      </w:tr>
      <w:tr>
        <w:tc>
          <w:tcPr>
            <w:tcW w:type="dxa" w:w="35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T2 Cliente y formularios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10-07 a 10-14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10-13 a 10-17</w:t>
            </w:r>
          </w:p>
        </w:tc>
        <w:tc>
          <w:tcPr>
            <w:tcW w:type="dxa" w:w="14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8 / 5</w:t>
            </w:r>
          </w:p>
        </w:tc>
        <w:tc>
          <w:tcPr>
            <w:tcW w:type="dxa" w:w="15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T1</w:t>
            </w:r>
          </w:p>
        </w:tc>
      </w:tr>
      <w:tr>
        <w:tc>
          <w:tcPr>
            <w:tcW w:type="dxa" w:w="35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T3 API, datos y seguridad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10-15 a 10-17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10-15 a 10-17</w:t>
            </w:r>
          </w:p>
        </w:tc>
        <w:tc>
          <w:tcPr>
            <w:tcW w:type="dxa" w:w="14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3 / 3</w:t>
            </w:r>
          </w:p>
        </w:tc>
        <w:tc>
          <w:tcPr>
            <w:tcW w:type="dxa" w:w="15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T1</w:t>
            </w:r>
          </w:p>
        </w:tc>
      </w:tr>
      <w:tr>
        <w:tc>
          <w:tcPr>
            <w:tcW w:type="dxa" w:w="35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T4 Integración cliente/API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10-17 a 10-18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10-17 a 10-18</w:t>
            </w:r>
          </w:p>
        </w:tc>
        <w:tc>
          <w:tcPr>
            <w:tcW w:type="dxa" w:w="14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2 / 2</w:t>
            </w:r>
          </w:p>
        </w:tc>
        <w:tc>
          <w:tcPr>
            <w:tcW w:type="dxa" w:w="15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T2, T3</w:t>
            </w:r>
          </w:p>
        </w:tc>
      </w:tr>
      <w:tr>
        <w:tc>
          <w:tcPr>
            <w:tcW w:type="dxa" w:w="35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T5 Instalación y reportes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10-19 a 10-22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10-19 a 10-22</w:t>
            </w:r>
          </w:p>
        </w:tc>
        <w:tc>
          <w:tcPr>
            <w:tcW w:type="dxa" w:w="14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4 / 4</w:t>
            </w:r>
          </w:p>
        </w:tc>
        <w:tc>
          <w:tcPr>
            <w:tcW w:type="dxa" w:w="15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T4</w:t>
            </w:r>
          </w:p>
        </w:tc>
      </w:tr>
      <w:tr>
        <w:tc>
          <w:tcPr>
            <w:tcW w:type="dxa" w:w="35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T6 Permisos, backup y Drive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10-23 a 10-26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10-26 a 10-28</w:t>
            </w:r>
          </w:p>
        </w:tc>
        <w:tc>
          <w:tcPr>
            <w:tcW w:type="dxa" w:w="14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4 / 3</w:t>
            </w:r>
          </w:p>
        </w:tc>
        <w:tc>
          <w:tcPr>
            <w:tcW w:type="dxa" w:w="15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T4</w:t>
            </w:r>
          </w:p>
        </w:tc>
      </w:tr>
      <w:tr>
        <w:tc>
          <w:tcPr>
            <w:tcW w:type="dxa" w:w="35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T7 Documentación y revisión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10-27 a 10-28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10-27 a 10-28</w:t>
            </w:r>
          </w:p>
        </w:tc>
        <w:tc>
          <w:tcPr>
            <w:tcW w:type="dxa" w:w="14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2 / 2</w:t>
            </w:r>
          </w:p>
        </w:tc>
        <w:tc>
          <w:tcPr>
            <w:tcW w:type="dxa" w:w="15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T5, T6</w:t>
            </w:r>
          </w:p>
        </w:tc>
      </w:tr>
    </w:tbl>
    <w:p/>
    <w:p>
      <w:r>
        <w:rPr>
          <w:b w:val="0"/>
        </w:rPr>
        <w:t>Los intervalos se cuentan en días calendario inclusivos. T2 y T3 avanzan en paralelo tras la preparación. La integración depende de ambas. La ampliación de permisos y copias explica la variación del tramo final respecto de la referencia estimada.</w:t>
      </w:r>
    </w:p>
    <w:p>
      <w:r>
        <w:br w:type="page"/>
      </w:r>
    </w:p>
    <w:p>
      <w:pPr>
        <w:pStyle w:val="Heading1"/>
      </w:pPr>
      <w:r>
        <w:t>6. Primera transacción: registrar publicación</w:t>
      </w:r>
    </w:p>
    <w:p>
      <w:r>
        <w:rPr>
          <w:b w:val="0"/>
        </w:rPr>
        <w:t>Actor: Administrador o Digitador con permiso efectivo de carga. Resultado: una publicación persistida con sus relaciones y auditoría, consultable tras recargar.</w:t>
      </w:r>
    </w:p>
    <w:p>
      <w:pPr>
        <w:pStyle w:val="Heading2"/>
      </w:pPr>
      <w:r>
        <w:t>Demostración de principio a fin</w:t>
      </w:r>
    </w:p>
    <w:p>
      <w:r>
        <w:rPr>
          <w:b w:val="0"/>
        </w:rPr>
        <w:t>1. Ingresar y abrir Gestión de publicaciones. Seleccionar Nueva publicación.</w:t>
      </w:r>
    </w:p>
    <w:p>
      <w:r>
        <w:rPr>
          <w:b w:val="0"/>
        </w:rPr>
        <w:t>2. Completar un título único, año, autores en orden, tutores y clasificación activa. Ingresar resumen, abstract en inglés y palabras clave.</w:t>
      </w:r>
    </w:p>
    <w:p>
      <w:r>
        <w:rPr>
          <w:b w:val="0"/>
        </w:rPr>
        <w:t>3. Elegir documento local o referencia externa. Para un PDF, cargar un archivo de prueba único y esperar el análisis limpio. Para una URL, usar una referencia válida.</w:t>
      </w:r>
    </w:p>
    <w:p>
      <w:r>
        <w:rPr>
          <w:b w:val="0"/>
        </w:rPr>
        <w:t>4. Confirmar que el trabajo recibió aprobación fuera del sistema y guardar.</w:t>
      </w:r>
    </w:p>
    <w:p>
      <w:r>
        <w:rPr>
          <w:b w:val="0"/>
        </w:rPr>
        <w:t>5. Anotar el código asignado, abrir la ficha y recargar para comprobar persistencia y relaciones.</w:t>
      </w:r>
    </w:p>
    <w:p>
      <w:r>
        <w:rPr>
          <w:b w:val="0"/>
        </w:rPr>
        <w:t>6. Ingresar a Reportes como Administrador, filtrar por el código registrado, consultar y exportar PDF y Excel. Comparar título, autores y clasificación con la ficha.</w:t>
      </w:r>
    </w:p>
    <w:p>
      <w:pPr>
        <w:pStyle w:val="Heading2"/>
      </w:pPr>
      <w:r>
        <w:t>Validación y manejo de errores</w:t>
      </w:r>
    </w:p>
    <w:p>
      <w:r>
        <w:rPr>
          <w:b w:val="0"/>
        </w:rPr>
        <w:t>Probar campos incompletos, resumen que exceda el límite y duplicación de título, resumen, abstract o hash. El servidor rechaza la operación con detalle. Un rechazo no debe dejar una publicación parcial; los eventos de rechazo se registran en auditoría.</w:t>
      </w:r>
    </w:p>
    <w:p>
      <w:r>
        <w:rPr>
          <w:b w:val="0"/>
        </w:rPr>
        <w:t>La carga del archivo es una operación previa separada del alta bibliográfica. La transacción de alta confirma el registro, sus relaciones y auditoría. Si la publicación se rechaza, revisar el archivo que permanezca disponible en el gestor de archivos.</w:t>
      </w:r>
    </w:p>
    <w:p>
      <w:pPr>
        <w:pStyle w:val="Heading2"/>
      </w:pPr>
      <w:r>
        <w:t>Reporte incluido</w:t>
      </w:r>
    </w:p>
    <w:p>
      <w:r>
        <w:rPr>
          <w:b w:val="0"/>
        </w:rPr>
        <w:t>Reportes/01-Publicacion-registrada.pdf y .xlsx: exportados desde la API real para INV-00008, registro ficticio de la demo. Son una muestra verificable del estado existente; durante la defensa se vuelve a exportar el trabajo creado en vivo.</w:t>
      </w:r>
    </w:p>
    <w:p>
      <w:r>
        <w:br w:type="page"/>
      </w:r>
    </w:p>
    <w:p>
      <w:pPr>
        <w:pStyle w:val="Heading1"/>
      </w:pPr>
      <w:r>
        <w:t>7. Segunda transacción: registrar una cuenta</w:t>
      </w:r>
    </w:p>
    <w:p>
      <w:r>
        <w:rPr>
          <w:b w:val="0"/>
        </w:rPr>
        <w:t>Actor: Administrador con permisos efectivos de usuarios. Resultado: una cuenta válida, contraseña almacenada como hash y evento de alta confirmado.</w:t>
      </w:r>
    </w:p>
    <w:p>
      <w:r>
        <w:rPr>
          <w:b w:val="0"/>
        </w:rPr>
        <w:t>1. Abrir Administración / Usuarios y seleccionar Nuevo usuario.</w:t>
      </w:r>
    </w:p>
    <w:p>
      <w:r>
        <w:rPr>
          <w:b w:val="0"/>
        </w:rPr>
        <w:t>2. Ingresar nombre, CI, correo y usuario únicos. Establecer contraseña y seleccionar un rol permitido.</w:t>
      </w:r>
    </w:p>
    <w:p>
      <w:r>
        <w:rPr>
          <w:b w:val="0"/>
        </w:rPr>
        <w:t>3. Guardar y completar la confirmación de identidad si la interfaz la solicita.</w:t>
      </w:r>
    </w:p>
    <w:p>
      <w:r>
        <w:rPr>
          <w:b w:val="0"/>
        </w:rPr>
        <w:t>4. Recargar el listado y localizar la cuenta. Comprobar nombre, usuario, rol y estado.</w:t>
      </w:r>
    </w:p>
    <w:p>
      <w:r>
        <w:rPr>
          <w:b w:val="0"/>
        </w:rPr>
        <w:t>5. Intentar un alta con CI, correo o usuario repetidos. Verificar rechazo y ausencia de un segundo registro.</w:t>
      </w:r>
    </w:p>
    <w:p>
      <w:r>
        <w:rPr>
          <w:b w:val="0"/>
        </w:rPr>
        <w:t>6. Abrir Auditoría, filtrar módulo usuarios y operación USUARIO_CREADO. Revisar el recurso y los valores nuevos. Exportar PDF y Excel.</w:t>
      </w:r>
    </w:p>
    <w:p>
      <w:r>
        <w:rPr>
          <w:b w:val="0"/>
        </w:rPr>
        <w:t>7. En otra sesión, comprobar que la cuenta accede únicamente a las opciones concedidas.</w:t>
      </w:r>
    </w:p>
    <w:p>
      <w:pPr>
        <w:pStyle w:val="Heading2"/>
      </w:pPr>
      <w:r>
        <w:t>Reglas de seguridad</w:t>
      </w:r>
    </w:p>
    <w:p>
      <w:r>
        <w:rPr>
          <w:b w:val="0"/>
        </w:rPr>
        <w:t>No se debe elevar el rol de una cuenta por encima de la autoridad del gestor ni afectar al último Administrador con permissions.manage. La contraseña no aparece en respuestas, auditoría o reportes. Un fallo de auditoría revierte el alta.</w:t>
      </w:r>
    </w:p>
    <w:p>
      <w:pPr>
        <w:pStyle w:val="Heading2"/>
      </w:pPr>
      <w:r>
        <w:t>Reporte incluido</w:t>
      </w:r>
    </w:p>
    <w:p>
      <w:r>
        <w:rPr>
          <w:b w:val="0"/>
        </w:rPr>
        <w:t>Reportes/02-Altas-de-usuarios-auditoria.pdf y .xlsx contienen dos altas reales de la carga demo: digitador y publico. El reporte es de auditoría de la transacción, con actor, fecha, resultado y datos nuevos; no es un listado general de usuarios. El Administrador inicial procede de USER_BOOTSTRAP y no integra el filtro USUARIO_CREADO.</w:t>
      </w:r>
    </w:p>
    <w:p>
      <w:r>
        <w:rPr>
          <w:b w:val="0"/>
        </w:rPr>
        <w:t>En la defensa se filtra el período y se verifica el identificador de la cuenta creada para relacionar exactamente la operación con el evento exportado. Los reportes no contienen las contraseñas de prueba.</w:t>
      </w:r>
    </w:p>
    <w:p>
      <w:r>
        <w:br w:type="page"/>
      </w:r>
    </w:p>
    <w:p>
      <w:pPr>
        <w:pStyle w:val="Heading1"/>
      </w:pPr>
      <w:r>
        <w:t>8. Reportes y comprobación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Transacción</w:t>
            </w:r>
          </w:p>
        </w:tc>
        <w:tc>
          <w:tcPr>
            <w:tcW w:type="dxa" w:w="37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Evidencia exportada</w:t>
            </w:r>
          </w:p>
        </w:tc>
        <w:tc>
          <w:tcPr>
            <w:tcW w:type="dxa" w:w="416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Comprobación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Registro de publicación</w:t>
            </w:r>
          </w:p>
        </w:tc>
        <w:tc>
          <w:tcPr>
            <w:tcW w:type="dxa" w:w="37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01-Publicacion-registrada.pdf / .xlsx</w:t>
            </w:r>
          </w:p>
        </w:tc>
        <w:tc>
          <w:tcPr>
            <w:tcW w:type="dxa" w:w="416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INV-00008, título, autores, clasificación y documento coinciden con el registro.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Alta de cuenta</w:t>
            </w:r>
          </w:p>
        </w:tc>
        <w:tc>
          <w:tcPr>
            <w:tcW w:type="dxa" w:w="37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02-Altas-de-usuarios-auditoria.pdf / .xlsx</w:t>
            </w:r>
          </w:p>
        </w:tc>
        <w:tc>
          <w:tcPr>
            <w:tcW w:type="dxa" w:w="416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Dos eventos USUARIO_CREADO, estado EXITO y valores nuevos de las cuentas demo.</w:t>
            </w:r>
          </w:p>
        </w:tc>
      </w:tr>
    </w:tbl>
    <w:p/>
    <w:p>
      <w:r>
        <w:rPr>
          <w:b w:val="0"/>
        </w:rPr>
        <w:t>Los reportes se generan en el servidor con los filtros consultados. El snapshot identifica la captura de datos: si cambia el contenido antes de exportar, el servidor exige consultar otra vez. La exportación verifica permiso, sesión y auditoría.</w:t>
      </w:r>
    </w:p>
    <w:p>
      <w:r>
        <w:rPr>
          <w:b w:val="0"/>
        </w:rPr>
        <w:t>Sin resultados, la API devuelve HTTP 200 con payload vacío y no genera archivo. Para demostrarlo, seleccionar filtros sin coincidencias. La exportación de publicaciones incluye el conjunto filtrado completo, dentro de los límites de servicio documentados.</w:t>
      </w:r>
    </w:p>
    <w:p>
      <w:pPr>
        <w:pStyle w:val="Heading2"/>
      </w:pPr>
      <w:r>
        <w:t>Pruebas ejecutadas en esta revisión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/>
        </w:trPr>
        <w:tc>
          <w:tcPr>
            <w:tcW w:type="dxa" w:w="67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Dominio</w:t>
            </w:r>
          </w:p>
        </w:tc>
        <w:tc>
          <w:tcPr>
            <w:tcW w:type="dxa" w:w="322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67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Cliente</w:t>
            </w:r>
          </w:p>
        </w:tc>
        <w:tc>
          <w:tcPr>
            <w:tcW w:type="dxa" w:w="322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115 pruebas aprobadas</w:t>
            </w:r>
          </w:p>
        </w:tc>
      </w:tr>
      <w:tr>
        <w:tc>
          <w:tcPr>
            <w:tcW w:type="dxa" w:w="67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Servidor, pruebas unitarias</w:t>
            </w:r>
          </w:p>
        </w:tc>
        <w:tc>
          <w:tcPr>
            <w:tcW w:type="dxa" w:w="322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245 pruebas aprobadas</w:t>
            </w:r>
          </w:p>
        </w:tc>
      </w:tr>
      <w:tr>
        <w:tc>
          <w:tcPr>
            <w:tcW w:type="dxa" w:w="67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Despliegue y configuración</w:t>
            </w:r>
          </w:p>
        </w:tc>
        <w:tc>
          <w:tcPr>
            <w:tcW w:type="dxa" w:w="322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22 pruebas aprobadas</w:t>
            </w:r>
          </w:p>
        </w:tc>
      </w:tr>
      <w:tr>
        <w:tc>
          <w:tcPr>
            <w:tcW w:type="dxa" w:w="67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Copias y restauración, pruebas sin servicios</w:t>
            </w:r>
          </w:p>
        </w:tc>
        <w:tc>
          <w:tcPr>
            <w:tcW w:type="dxa" w:w="322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13 pruebas aprobadas</w:t>
            </w:r>
          </w:p>
        </w:tc>
      </w:tr>
      <w:tr>
        <w:tc>
          <w:tcPr>
            <w:tcW w:type="dxa" w:w="67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Total de estas suites</w:t>
            </w:r>
          </w:p>
        </w:tc>
        <w:tc>
          <w:tcPr>
            <w:tcW w:type="dxa" w:w="322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395 aprobadas, sin fallos ni omisiones</w:t>
            </w:r>
          </w:p>
        </w:tc>
      </w:tr>
    </w:tbl>
    <w:p/>
    <w:p>
      <w:r>
        <w:rPr>
          <w:b w:val="0"/>
        </w:rPr>
        <w:t>La demo abrió con API real y las tres contraseñas se compararon con sus hashes Argon2 sin modificarlas. Se verificaron ocho adjuntos por tamaño y SHA-256. Se exportaron ambos reportes en PDF y XLSX. La restauración y la descarga de Drive se verificaron por separado.</w:t>
      </w:r>
    </w:p>
    <w:p>
      <w:r>
        <w:rPr>
          <w:b w:val="0"/>
        </w:rPr>
        <w:t>Estas comprobaciones no equivalen a una certificación de producción ni a una nueva ejecución de toda la batería de integración. Las primeras pruebas de despliegue encontraron una restricción de sockets del entorno; al permitir loopback pasaron las 22 pruebas.</w:t>
      </w:r>
    </w:p>
    <w:p>
      <w:r>
        <w:br w:type="page"/>
      </w:r>
    </w:p>
    <w:p>
      <w:pPr>
        <w:pStyle w:val="Heading1"/>
      </w:pPr>
      <w:r>
        <w:t>9. Copias manuales, automáticas y nube</w:t>
      </w:r>
    </w:p>
    <w:p>
      <w:pPr>
        <w:pStyle w:val="Heading2"/>
      </w:pPr>
      <w:r>
        <w:t>Copia manual y recuperación</w:t>
      </w:r>
    </w:p>
    <w:p>
      <w:r>
        <w:rPr>
          <w:b w:val="0"/>
        </w:rPr>
        <w:t>Desde Administración / Copias de seguridad, Crear copia ahora inicia el trabajo y permite seguir su historial. El comando equivalente es npm run backup -- --profile demo. Se requiere PostgreSQL disponible, herramientas pg_dump/pg_restore y configuración privada válida.</w:t>
      </w:r>
    </w:p>
    <w:p>
      <w:r>
        <w:rPr>
          <w:b w:val="0"/>
        </w:rPr>
        <w:t>La copia entregada se restauró nuevamente en un clúster PostgreSQL 18 temporal separado. Resultado: 3 usuarios, 8 publicaciones, 14 autores, 12 tutores y 8 adjuntos. Ninguna publicación quedó sin autor o tutor y los ocho archivos privados coinciden por hash. Evidencia: restauracion-actual.json.</w:t>
      </w:r>
    </w:p>
    <w:p>
      <w:pPr>
        <w:pStyle w:val="Heading2"/>
      </w:pPr>
      <w:r>
        <w:t>Copia automática en el servidor</w:t>
      </w:r>
    </w:p>
    <w:p>
      <w:r>
        <w:rPr>
          <w:b w:val="0"/>
        </w:rPr>
        <w:t>Windows tiene una tarea diaria demo a las 02:00. La consulta de esta revisión informó última ejecución el 28/10/2026 a las 02:00:03 y código 0. programacion-vigente.json contiene acción y disparador, sin secretos. El historial recuperado también conserva copias programadas completas y un intento en curso marcado fallido al restaurar la base.</w:t>
      </w:r>
    </w:p>
    <w:p>
      <w:r>
        <w:rPr>
          <w:b w:val="0"/>
        </w:rPr>
        <w:t>El archivo Backup-automatico-demo.dump se vincula a una copia programada completa del historial recuperado. La salida del Programador es una evidencia adicional de ejecución diaria. Los nombres de archivo incluyen fecha UTC; las fechas de registros recuperados pueden reflejar el estado de la copia restaurada. Revisar cada identificador antes de correlacionar eventos.</w:t>
      </w:r>
    </w:p>
    <w:p>
      <w:pPr>
        <w:pStyle w:val="Heading2"/>
      </w:pPr>
      <w:r>
        <w:t>Nube y acceso restringido</w:t>
      </w:r>
    </w:p>
    <w:p>
      <w:r>
        <w:rPr>
          <w:b w:val="0"/>
        </w:rPr>
        <w:t>La copia demo existente se descargó de Google Drive mediante la cuenta ya autorizada. Se confirmó permiso de propietario y ausencia de acceso público. El SHA-256 remoto coincide con el local y el auditado. Evidencia: recuperacion-drive-actual.json. No se cambió la configuración ni los permisos de Drive.</w:t>
      </w:r>
    </w:p>
    <w:p>
      <w:r>
        <w:rPr>
          <w:b w:val="0"/>
        </w:rPr>
        <w:t>La recuperación y la restauración de prueba utilizan el mismo archivo de 93.829 bytes. El SHA-256 completo está en el manifiesto y en ambas evidencias. Los backups de PostgreSQL no incluyen los PDF privados; se entregan en un ZIP separado y deben preservarse junto con configuración y servicios.</w:t>
      </w:r>
    </w:p>
    <w:p>
      <w:r>
        <w:br w:type="page"/>
      </w:r>
    </w:p>
    <w:p>
      <w:pPr>
        <w:pStyle w:val="Heading1"/>
      </w:pPr>
      <w:r>
        <w:t>10. Apertura, recuperación y entrega</w:t>
      </w:r>
    </w:p>
    <w:p>
      <w:pPr>
        <w:pStyle w:val="Heading2"/>
      </w:pPr>
      <w:r>
        <w:t>Abrir una demo nueva</w:t>
      </w:r>
    </w:p>
    <w:p>
      <w:r>
        <w:rPr>
          <w:b w:val="0"/>
        </w:rPr>
        <w:t>1. Extraer Software/FCEA-Datasys-codigo.zip en una carpeta con permisos de escritura.</w:t>
      </w:r>
    </w:p>
    <w:p>
      <w:r>
        <w:rPr>
          <w:b w:val="0"/>
        </w:rPr>
        <w:t>2. Instalar Node.js 24.11 o superior de la rama 24, PostgreSQL 18 con sus herramientas y ClamAV con firmas vigentes. La primera instalación de dependencias requiere conexión.</w:t>
      </w:r>
    </w:p>
    <w:p>
      <w:r>
        <w:rPr>
          <w:b w:val="0"/>
        </w:rPr>
        <w:t>3. Abrir una terminal en la raíz fceadatasys, donde se encuentra package.json.</w:t>
      </w:r>
    </w:p>
    <w:p>
      <w:r>
        <w:rPr>
          <w:b w:val="0"/>
        </w:rPr>
        <w:t>4. Ejecutar npm run start:demo y esperar la dirección informada por el lanzador. La dirección predeterminada es http://127.0.0.1:8080.</w:t>
      </w:r>
    </w:p>
    <w:p>
      <w:r>
        <w:rPr>
          <w:b w:val="0"/>
        </w:rPr>
        <w:t>5. Ingresar con las cuentas de 04 Usuarios y contraseñas.txt. Conservar la terminal abierta. Para cerrar, usar Ctrl+C o npm run stop:demo.</w:t>
      </w:r>
    </w:p>
    <w:p>
      <w:r>
        <w:rPr>
          <w:b w:val="0"/>
        </w:rPr>
        <w:t>En una instalación preparada se puede usar npm run start:demo -- --start-only. Una demo nueva genera los registros iniciales y no necesita restaurar el dump entregado. Producción requiere su propia configuración HTTPS, cuentas técnicas, correo y Drive institucional; no usa las contraseñas de demostración.</w:t>
      </w:r>
    </w:p>
    <w:p>
      <w:pPr>
        <w:pStyle w:val="Heading2"/>
      </w:pPr>
      <w:r>
        <w:t>Recuperar el estado entregado</w:t>
      </w:r>
    </w:p>
    <w:p>
      <w:r>
        <w:rPr>
          <w:b w:val="0"/>
        </w:rPr>
        <w:t>Detener la aplicación, recuperar los ocho adjuntos en el directorio privado correspondiente y ejecutar npm run restore -- --profile demo --file RUTA_DEL_DUMP --sha256 HASH_ORIGINAL. Usar el hash del manifiesto verificado y escribir la confirmación que pide el asistente. El procedimiento valida migraciones, permisos y archivos antes de activar la base recuperada y conserva la anterior.</w:t>
      </w:r>
    </w:p>
    <w:p>
      <w:pPr>
        <w:pStyle w:val="Heading2"/>
      </w:pPr>
      <w:r>
        <w:t>Componentes del paquete</w:t>
      </w:r>
    </w:p>
    <w:p>
      <w:r>
        <w:rPr>
          <w:b w:val="0"/>
        </w:rPr>
        <w:t>Presentación PDF y PPTX editable; documento del proyecto DOCX y PDF; cronograma PDF y CSV; manuales existentes de usuario y seguridad DOCX/PDF; accesos y pasos de apertura; guion de defensa; reportes de muestra; código fuente; copias de PostgreSQL y adjuntos demo; evidencias y manifiesto de hashes.</w:t>
      </w:r>
    </w:p>
    <w:p>
      <w:r>
        <w:rPr>
          <w:b w:val="0"/>
        </w:rPr>
        <w:t>La consigna general solicita además un video de hasta tres minutos. No se localizó un video terminado en los archivos de proyecto inspeccionados; el guion de entrega describe su grabación. El integrante responsable de subir la entrega no está identificado en los antecedentes.</w:t>
      </w:r>
    </w:p>
    <w:p>
      <w:r>
        <w:br w:type="page"/>
      </w:r>
    </w:p>
    <w:p>
      <w:pPr>
        <w:pStyle w:val="Heading1"/>
      </w:pPr>
      <w:r>
        <w:t>11. Fuentes y trazabilidad de evaluación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30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Puntos</w:t>
            </w:r>
          </w:p>
        </w:tc>
        <w:tc>
          <w:tcPr>
            <w:tcW w:type="dxa" w:w="58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73D5C"/>
          </w:tcPr>
          <w:p>
            <w:pPr>
              <w:spacing w:after="60" w:line="264" w:lineRule="auto"/>
            </w:pPr>
            <w:r>
              <w:rPr>
                <w:b/>
                <w:color w:val="FFFFFF"/>
                <w:sz w:val="20"/>
              </w:rPr>
              <w:t>Dónde demostrarlo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Título y software</w:t>
            </w:r>
          </w:p>
        </w:tc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58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Portadas y diapositiva 1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Objetivos</w:t>
            </w:r>
          </w:p>
        </w:tc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58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Sección 1 y diapositivas 4-5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Requerimientos funcionales</w:t>
            </w:r>
          </w:p>
        </w:tc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58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Sección 2 y diapositivas 6-7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Herramientas</w:t>
            </w:r>
          </w:p>
        </w:tc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58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Sección 4 y diapositiva 8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Gantt y avance</w:t>
            </w:r>
          </w:p>
        </w:tc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58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Sección 5, cronograma y diapositiva 9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Primera transacción</w:t>
            </w:r>
          </w:p>
        </w:tc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15</w:t>
            </w:r>
          </w:p>
        </w:tc>
        <w:tc>
          <w:tcPr>
            <w:tcW w:type="dxa" w:w="58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Sección 6 y demo de publicación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Segunda transacción</w:t>
            </w:r>
          </w:p>
        </w:tc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15</w:t>
            </w:r>
          </w:p>
        </w:tc>
        <w:tc>
          <w:tcPr>
            <w:tcW w:type="dxa" w:w="58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Sección 7 y demo de usuario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Reportes de ambas</w:t>
            </w:r>
          </w:p>
        </w:tc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58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Reportes PDF/XLSX y sección 8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Backup manual y restauración</w:t>
            </w:r>
          </w:p>
        </w:tc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6</w:t>
            </w:r>
          </w:p>
        </w:tc>
        <w:tc>
          <w:tcPr>
            <w:tcW w:type="dxa" w:w="58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Software, sección 9 y restauracion-actual.json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Backup automático local</w:t>
            </w:r>
          </w:p>
        </w:tc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7</w:t>
            </w:r>
          </w:p>
        </w:tc>
        <w:tc>
          <w:tcPr>
            <w:tcW w:type="dxa" w:w="58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Tarea diaria e historial programado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Nube, acceso y recuperación</w:t>
            </w:r>
          </w:p>
        </w:tc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8</w:t>
            </w:r>
          </w:p>
        </w:tc>
        <w:tc>
          <w:tcPr>
            <w:tcW w:type="dxa" w:w="58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64" w:lineRule="auto"/>
            </w:pPr>
            <w:r>
              <w:rPr>
                <w:sz w:val="20"/>
              </w:rPr>
              <w:t>Archivo recuperado y evidencia Drive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Defensa oral</w:t>
            </w:r>
          </w:p>
        </w:tc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58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1F5F8"/>
          </w:tcPr>
          <w:p>
            <w:pPr>
              <w:spacing w:after="60" w:line="264" w:lineRule="auto"/>
            </w:pPr>
            <w:r>
              <w:rPr>
                <w:sz w:val="20"/>
              </w:rPr>
              <w:t>Guion y explicación de las decisiones</w:t>
            </w:r>
          </w:p>
        </w:tc>
      </w:tr>
    </w:tbl>
    <w:p/>
    <w:p>
      <w:pPr>
        <w:pStyle w:val="Heading2"/>
      </w:pPr>
      <w:r>
        <w:t>Fuentes del proyecto</w:t>
      </w:r>
    </w:p>
    <w:p>
      <w:r>
        <w:rPr>
          <w:b w:val="0"/>
        </w:rPr>
        <w:t>TPF - Evaluacion.pdf: rúbrica de 100 puntos, dos páginas.</w:t>
      </w:r>
    </w:p>
    <w:p>
      <w:r>
        <w:rPr>
          <w:b w:val="0"/>
        </w:rPr>
        <w:t>TP - TPF-IS1-2026.pdf: consigna general y lista de entregables.</w:t>
      </w:r>
    </w:p>
    <w:p>
      <w:r>
        <w:rPr>
          <w:b w:val="0"/>
        </w:rPr>
        <w:t>TPF - 1er avance.docx y TPF - 2do avance.docx: institución, integrantes, problema, objetivos y procesos.</w:t>
      </w:r>
    </w:p>
    <w:p>
      <w:r>
        <w:rPr>
          <w:b w:val="0"/>
        </w:rPr>
        <w:t>AGENTS.md: alcance consolidado y reglas del catálogo. Sus reglas prevalecen sobre antecedentes con aprobación interna o permisos antiguos.</w:t>
      </w:r>
    </w:p>
    <w:p>
      <w:r>
        <w:rPr>
          <w:b w:val="0"/>
        </w:rPr>
        <w:t>README.md, package.json y lockfiles: ejecución y herramientas del software actual.</w:t>
      </w:r>
    </w:p>
    <w:p>
      <w:r>
        <w:rPr>
          <w:b w:val="0"/>
        </w:rPr>
        <w:t>server/docs/API.md, DATABASE.md, REPORTS.md y documentos de publicación, usuarios y seguridad: contratos y comportamiento.</w:t>
      </w:r>
    </w:p>
    <w:p>
      <w:r>
        <w:rPr>
          <w:b w:val="0"/>
        </w:rPr>
        <w:t>docs/BACKUPS.md, GOOGLE-DRIVE.md, PERMISSIONS.md e historial Git: operación de copias, acceso y cronología.</w:t>
      </w:r>
    </w:p>
    <w:p>
      <w:r>
        <w:rPr>
          <w:b w:val="0"/>
        </w:rPr>
        <w:t>Evidencias de esta entrega: credenciales verificadas, reportes reales, tarea vigente, recuperación de Drive y restauración aislada.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FCEA-Datasys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del proyecto y defensa - FCEA-Datasys</dc:title>
  <dc:subject/>
  <dc:creator>Equipo FCEA-Datasys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es-PY</dc:language>
</cp:coreProperties>
</file>