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RutaAlerta</w:t>
      </w:r>
    </w:p>
    <w:p>
      <w:pPr>
        <w:pStyle w:val="Subtitle"/>
      </w:pPr>
      <w:r>
        <w:t>Casos de uso y modelo de datos para Capstone</w:t>
      </w:r>
    </w:p>
    <w:p>
      <w:r>
        <w:t>Entrega de diseño solicitada para el 25 de septiembre de 2026. Versión consolidada al 29 de septiembre de 2026.</w:t>
      </w:r>
    </w:p>
    <w:p>
      <w:r>
        <w:t>Esta entrega define el alcance del sistema, relaciona sus casos de uso con los objetivos del proyecto y presenta el modelo conceptual y su implementación en PostgreSQL con PostGIS. Los diagramas completos, las vistas por módulo, el diccionario y los scripts se incluyen en el mismo paquete.</w:t>
      </w:r>
    </w:p>
    <w:p>
      <w:pPr>
        <w:pStyle w:val="Heading2"/>
      </w:pPr>
      <w:r>
        <w:t>Identificación del equipo</w:t>
      </w:r>
    </w:p>
    <w:tbl>
      <w:tblPr>
        <w:tblStyle w:val="TableGrid"/>
        <w:tblW w:type="auto" w:w="0"/>
        <w:tblLayout w:type="fixed"/>
        <w:tblLook w:firstColumn="1" w:firstRow="1" w:lastColumn="0" w:lastRow="0" w:noHBand="0" w:noVBand="1" w:val="04A0"/>
      </w:tblPr>
      <w:tblGrid>
        <w:gridCol w:w="2088"/>
        <w:gridCol w:w="7704"/>
      </w:tblGrid>
      <w:tr>
        <w:trPr>
          <w:tblHeader/>
          <w:cantSplit/>
        </w:trPr>
        <w:tc>
          <w:tcPr>
            <w:tcW w:type="dxa" w:w="2088"/>
          </w:tcPr>
          <w:p>
            <w:pPr>
              <w:spacing w:after="80" w:before="60" w:line="245" w:lineRule="auto"/>
              <w:jc w:val="left"/>
            </w:pPr>
            <w:r>
              <w:rPr>
                <w:rFonts w:ascii="Times New Roman" w:hAnsi="Times New Roman"/>
                <w:b/>
                <w:sz w:val="19"/>
              </w:rPr>
              <w:t>Antecedente</w:t>
            </w:r>
          </w:p>
        </w:tc>
        <w:tc>
          <w:tcPr>
            <w:tcW w:type="dxa" w:w="7704"/>
          </w:tcPr>
          <w:p>
            <w:pPr>
              <w:spacing w:after="80" w:before="60" w:line="245" w:lineRule="auto"/>
              <w:jc w:val="left"/>
            </w:pPr>
            <w:r>
              <w:rPr>
                <w:rFonts w:ascii="Times New Roman" w:hAnsi="Times New Roman"/>
                <w:b/>
                <w:sz w:val="19"/>
              </w:rPr>
              <w:t>Detalle</w:t>
            </w:r>
          </w:p>
        </w:tc>
      </w:tr>
      <w:tr>
        <w:trPr>
          <w:cantSplit/>
        </w:trPr>
        <w:tc>
          <w:tcPr>
            <w:tcW w:type="dxa" w:w="2088"/>
          </w:tcPr>
          <w:p>
            <w:pPr>
              <w:spacing w:after="80" w:before="60" w:line="245" w:lineRule="auto"/>
              <w:jc w:val="left"/>
            </w:pPr>
            <w:r>
              <w:rPr>
                <w:rFonts w:ascii="Times New Roman" w:hAnsi="Times New Roman"/>
                <w:b w:val="0"/>
                <w:sz w:val="19"/>
              </w:rPr>
              <w:t>Asignatura</w:t>
            </w:r>
          </w:p>
        </w:tc>
        <w:tc>
          <w:tcPr>
            <w:tcW w:type="dxa" w:w="7704"/>
          </w:tcPr>
          <w:p>
            <w:pPr>
              <w:spacing w:after="80" w:before="60" w:line="245" w:lineRule="auto"/>
              <w:jc w:val="left"/>
            </w:pPr>
            <w:r>
              <w:rPr>
                <w:rFonts w:ascii="Times New Roman" w:hAnsi="Times New Roman"/>
                <w:b w:val="0"/>
                <w:sz w:val="19"/>
              </w:rPr>
              <w:t>CAPSTONE_004D · 2026_2_CO_PTY4614_24654778_PCT</w:t>
            </w:r>
          </w:p>
        </w:tc>
      </w:tr>
      <w:tr>
        <w:trPr>
          <w:cantSplit/>
        </w:trPr>
        <w:tc>
          <w:tcPr>
            <w:tcW w:type="dxa" w:w="2088"/>
          </w:tcPr>
          <w:p>
            <w:pPr>
              <w:spacing w:after="80" w:before="60" w:line="245" w:lineRule="auto"/>
              <w:jc w:val="left"/>
            </w:pPr>
            <w:r>
              <w:rPr>
                <w:rFonts w:ascii="Times New Roman" w:hAnsi="Times New Roman"/>
                <w:b w:val="0"/>
                <w:sz w:val="19"/>
              </w:rPr>
              <w:t>Institución</w:t>
            </w:r>
          </w:p>
        </w:tc>
        <w:tc>
          <w:tcPr>
            <w:tcW w:type="dxa" w:w="7704"/>
          </w:tcPr>
          <w:p>
            <w:pPr>
              <w:spacing w:after="80" w:before="60" w:line="245" w:lineRule="auto"/>
              <w:jc w:val="left"/>
            </w:pPr>
            <w:r>
              <w:rPr>
                <w:rFonts w:ascii="Times New Roman" w:hAnsi="Times New Roman"/>
                <w:b w:val="0"/>
                <w:sz w:val="19"/>
              </w:rPr>
              <w:t>DUOC UC · Sede San Andrés, Concepción</w:t>
            </w:r>
          </w:p>
        </w:tc>
      </w:tr>
      <w:tr>
        <w:trPr>
          <w:cantSplit/>
        </w:trPr>
        <w:tc>
          <w:tcPr>
            <w:tcW w:type="dxa" w:w="2088"/>
          </w:tcPr>
          <w:p>
            <w:pPr>
              <w:spacing w:after="80" w:before="60" w:line="245" w:lineRule="auto"/>
              <w:jc w:val="left"/>
            </w:pPr>
            <w:r>
              <w:rPr>
                <w:rFonts w:ascii="Times New Roman" w:hAnsi="Times New Roman"/>
                <w:b w:val="0"/>
                <w:sz w:val="19"/>
              </w:rPr>
              <w:t>Equipo</w:t>
            </w:r>
          </w:p>
        </w:tc>
        <w:tc>
          <w:tcPr>
            <w:tcW w:type="dxa" w:w="7704"/>
          </w:tcPr>
          <w:p>
            <w:pPr>
              <w:spacing w:after="80" w:before="60" w:line="245" w:lineRule="auto"/>
              <w:jc w:val="left"/>
            </w:pPr>
            <w:r>
              <w:rPr>
                <w:rFonts w:ascii="Times New Roman" w:hAnsi="Times New Roman"/>
                <w:b w:val="0"/>
                <w:sz w:val="19"/>
              </w:rPr>
              <w:t>Grupo 7</w:t>
            </w:r>
          </w:p>
        </w:tc>
      </w:tr>
      <w:tr>
        <w:trPr>
          <w:cantSplit/>
        </w:trPr>
        <w:tc>
          <w:tcPr>
            <w:tcW w:type="dxa" w:w="2088"/>
          </w:tcPr>
          <w:p>
            <w:pPr>
              <w:spacing w:after="80" w:before="60" w:line="245" w:lineRule="auto"/>
              <w:jc w:val="left"/>
            </w:pPr>
            <w:r>
              <w:rPr>
                <w:rFonts w:ascii="Times New Roman" w:hAnsi="Times New Roman"/>
                <w:b w:val="0"/>
                <w:sz w:val="19"/>
              </w:rPr>
              <w:t>Integrantes</w:t>
            </w:r>
          </w:p>
        </w:tc>
        <w:tc>
          <w:tcPr>
            <w:tcW w:type="dxa" w:w="7704"/>
          </w:tcPr>
          <w:p>
            <w:pPr>
              <w:spacing w:after="80" w:before="60" w:line="245" w:lineRule="auto"/>
              <w:jc w:val="left"/>
            </w:pPr>
            <w:r>
              <w:rPr>
                <w:rFonts w:ascii="Times New Roman" w:hAnsi="Times New Roman"/>
                <w:b w:val="0"/>
                <w:sz w:val="19"/>
              </w:rPr>
              <w:t>Jorge Ceballos · Juan Marinan · Alan Bravo</w:t>
            </w:r>
          </w:p>
        </w:tc>
      </w:tr>
      <w:tr>
        <w:trPr>
          <w:cantSplit/>
        </w:trPr>
        <w:tc>
          <w:tcPr>
            <w:tcW w:type="dxa" w:w="2088"/>
          </w:tcPr>
          <w:p>
            <w:pPr>
              <w:spacing w:after="80" w:before="60" w:line="245" w:lineRule="auto"/>
              <w:jc w:val="left"/>
            </w:pPr>
            <w:r>
              <w:rPr>
                <w:rFonts w:ascii="Times New Roman" w:hAnsi="Times New Roman"/>
                <w:b w:val="0"/>
                <w:sz w:val="19"/>
              </w:rPr>
              <w:t>Docentes guías</w:t>
            </w:r>
          </w:p>
        </w:tc>
        <w:tc>
          <w:tcPr>
            <w:tcW w:type="dxa" w:w="7704"/>
          </w:tcPr>
          <w:p>
            <w:pPr>
              <w:spacing w:after="80" w:before="60" w:line="245" w:lineRule="auto"/>
              <w:jc w:val="left"/>
            </w:pPr>
            <w:r>
              <w:rPr>
                <w:rFonts w:ascii="Times New Roman" w:hAnsi="Times New Roman"/>
                <w:b w:val="0"/>
                <w:sz w:val="19"/>
              </w:rPr>
              <w:t>Juan Pablo Mellado Alarcón</w:t>
              <w:br/>
              <w:t>Mabel Alejandra Herrera Pino</w:t>
            </w:r>
          </w:p>
        </w:tc>
      </w:tr>
      <w:tr>
        <w:trPr>
          <w:cantSplit/>
        </w:trPr>
        <w:tc>
          <w:tcPr>
            <w:tcW w:type="dxa" w:w="2088"/>
          </w:tcPr>
          <w:p>
            <w:pPr>
              <w:spacing w:after="80" w:before="60" w:line="245" w:lineRule="auto"/>
              <w:jc w:val="left"/>
            </w:pPr>
            <w:r>
              <w:rPr>
                <w:rFonts w:ascii="Times New Roman" w:hAnsi="Times New Roman"/>
                <w:b w:val="0"/>
                <w:sz w:val="19"/>
              </w:rPr>
              <w:t>Plazo académico</w:t>
            </w:r>
          </w:p>
        </w:tc>
        <w:tc>
          <w:tcPr>
            <w:tcW w:type="dxa" w:w="7704"/>
          </w:tcPr>
          <w:p>
            <w:pPr>
              <w:spacing w:after="80" w:before="60" w:line="245" w:lineRule="auto"/>
              <w:jc w:val="left"/>
            </w:pPr>
            <w:r>
              <w:rPr>
                <w:rFonts w:ascii="Times New Roman" w:hAnsi="Times New Roman"/>
                <w:b w:val="0"/>
                <w:sz w:val="19"/>
              </w:rPr>
              <w:t>14 semanas; el cambio de proyecto no reinicia el calendario</w:t>
            </w:r>
          </w:p>
        </w:tc>
      </w:tr>
      <w:tr>
        <w:trPr>
          <w:cantSplit/>
        </w:trPr>
        <w:tc>
          <w:tcPr>
            <w:tcW w:type="dxa" w:w="2088"/>
          </w:tcPr>
          <w:p>
            <w:pPr>
              <w:spacing w:after="80" w:before="60" w:line="245" w:lineRule="auto"/>
              <w:jc w:val="left"/>
            </w:pPr>
            <w:r>
              <w:rPr>
                <w:rFonts w:ascii="Times New Roman" w:hAnsi="Times New Roman"/>
                <w:b w:val="0"/>
                <w:sz w:val="19"/>
              </w:rPr>
              <w:t>Repositorio</w:t>
            </w:r>
          </w:p>
        </w:tc>
        <w:tc>
          <w:tcPr>
            <w:tcW w:type="dxa" w:w="7704"/>
          </w:tcPr>
          <w:p>
            <w:pPr>
              <w:spacing w:after="80" w:before="60" w:line="245" w:lineRule="auto"/>
              <w:jc w:val="left"/>
            </w:pPr>
            <w:r>
              <w:rPr>
                <w:rFonts w:ascii="Times New Roman" w:hAnsi="Times New Roman"/>
                <w:b w:val="0"/>
                <w:sz w:val="19"/>
              </w:rPr>
              <w:t>github.com/AlanBravo19/Capstone_2026_G7</w:t>
            </w:r>
          </w:p>
        </w:tc>
      </w:tr>
    </w:tbl>
    <w:p>
      <w:pPr>
        <w:pStyle w:val="Heading2"/>
      </w:pPr>
      <w:r>
        <w:t>Contenido de la entrega</w:t>
      </w:r>
    </w:p>
    <w:p>
      <w:r>
        <w:t>31 casos de uso, seis objetivos de resultado, diez actores clasificados, 56 entidades/tablas, 549 columnas y 110 claves foráneas. Se entregan modelos conceptuales y físicos generales, ocho vistas de datos por módulo y cinco vistas UML de detalle.</w:t>
      </w:r>
    </w:p>
    <w:p>
      <w:r>
        <w:t>El SQL crea una base de diseño verificable. Su ejecución no equivale a haber construido la aplicación, conectado cámaras municipales, entrenado IA o medido los resultados del piloto.</w:t>
      </w:r>
    </w:p>
    <w:p>
      <w:r>
        <w:br w:type="page"/>
      </w:r>
    </w:p>
    <w:p>
      <w:pPr>
        <w:pStyle w:val="Heading1"/>
      </w:pPr>
      <w:r>
        <w:t>1 Problema y alcance del sistema</w:t>
      </w:r>
    </w:p>
    <w:p>
      <w:r>
        <w:t>Ante un robo vehicular, los antecedentes pueden quedar repartidos entre el afectado, testigos, archivos y una central. Esa dispersión dificulta reconocer qué información fue recibida, cuándo ocurrió una observación, quién la revisó y qué puede comunicarse al afectado. RutaAlerta organiza esos antecedentes en un expediente trazable y una red de colaboración revisada.</w:t>
      </w:r>
    </w:p>
    <w:p>
      <w:r>
        <w:t>El público es general. Taxistas y conductores de aplicaciones son posibles participantes del piloto por su frecuencia de desplazamiento; el producto también contempla propietarios, pasajeros y testigos. La ubicación del teléfono no se interpreta como posición del vehículo después de un robo.</w:t>
      </w:r>
    </w:p>
    <w:tbl>
      <w:tblPr>
        <w:tblStyle w:val="TableGrid"/>
        <w:tblW w:type="auto" w:w="0"/>
        <w:tblLayout w:type="fixed"/>
        <w:tblLook w:firstColumn="1" w:firstRow="1" w:lastColumn="0" w:lastRow="0" w:noHBand="0" w:noVBand="1" w:val="04A0"/>
      </w:tblPr>
      <w:tblGrid>
        <w:gridCol w:w="1944"/>
        <w:gridCol w:w="7848"/>
      </w:tblGrid>
      <w:tr>
        <w:trPr>
          <w:tblHeader/>
          <w:cantSplit/>
        </w:trPr>
        <w:tc>
          <w:tcPr>
            <w:tcW w:type="dxa" w:w="1944"/>
          </w:tcPr>
          <w:p>
            <w:pPr>
              <w:spacing w:after="80" w:before="60" w:line="245" w:lineRule="auto"/>
              <w:jc w:val="left"/>
            </w:pPr>
            <w:r>
              <w:rPr>
                <w:rFonts w:ascii="Times New Roman" w:hAnsi="Times New Roman"/>
                <w:b/>
                <w:sz w:val="19"/>
              </w:rPr>
              <w:t>Ámbito</w:t>
            </w:r>
          </w:p>
        </w:tc>
        <w:tc>
          <w:tcPr>
            <w:tcW w:type="dxa" w:w="7848"/>
          </w:tcPr>
          <w:p>
            <w:pPr>
              <w:spacing w:after="80" w:before="60" w:line="245" w:lineRule="auto"/>
              <w:jc w:val="left"/>
            </w:pPr>
            <w:r>
              <w:rPr>
                <w:rFonts w:ascii="Times New Roman" w:hAnsi="Times New Roman"/>
                <w:b/>
                <w:sz w:val="19"/>
              </w:rPr>
              <w:t>Alcance de diseño</w:t>
            </w:r>
          </w:p>
        </w:tc>
      </w:tr>
      <w:tr>
        <w:trPr>
          <w:cantSplit/>
        </w:trPr>
        <w:tc>
          <w:tcPr>
            <w:tcW w:type="dxa" w:w="1944"/>
          </w:tcPr>
          <w:p>
            <w:pPr>
              <w:spacing w:after="80" w:before="60" w:line="245" w:lineRule="auto"/>
              <w:jc w:val="left"/>
            </w:pPr>
            <w:r>
              <w:rPr>
                <w:rFonts w:ascii="Times New Roman" w:hAnsi="Times New Roman"/>
                <w:b w:val="0"/>
                <w:sz w:val="19"/>
              </w:rPr>
              <w:t>Ciudadanía</w:t>
            </w:r>
          </w:p>
        </w:tc>
        <w:tc>
          <w:tcPr>
            <w:tcW w:type="dxa" w:w="7848"/>
          </w:tcPr>
          <w:p>
            <w:pPr>
              <w:spacing w:after="80" w:before="60" w:line="245" w:lineRule="auto"/>
              <w:jc w:val="left"/>
            </w:pPr>
            <w:r>
              <w:rPr>
                <w:rFonts w:ascii="Times New Roman" w:hAnsi="Times New Roman"/>
                <w:b w:val="0"/>
                <w:sz w:val="19"/>
              </w:rPr>
              <w:t>Cuenta, vehículos y vínculos; reporte y evidencia; catálogo de solicitudes vigentes; avistamientos; seguimiento, contacto de confianza y orientación.</w:t>
            </w:r>
          </w:p>
        </w:tc>
      </w:tr>
      <w:tr>
        <w:trPr>
          <w:cantSplit/>
        </w:trPr>
        <w:tc>
          <w:tcPr>
            <w:tcW w:type="dxa" w:w="1944"/>
          </w:tcPr>
          <w:p>
            <w:pPr>
              <w:spacing w:after="80" w:before="60" w:line="245" w:lineRule="auto"/>
              <w:jc w:val="left"/>
            </w:pPr>
            <w:r>
              <w:rPr>
                <w:rFonts w:ascii="Times New Roman" w:hAnsi="Times New Roman"/>
                <w:b w:val="0"/>
                <w:sz w:val="19"/>
              </w:rPr>
              <w:t>Prevención informativa</w:t>
            </w:r>
          </w:p>
        </w:tc>
        <w:tc>
          <w:tcPr>
            <w:tcW w:type="dxa" w:w="7848"/>
          </w:tcPr>
          <w:p>
            <w:pPr>
              <w:spacing w:after="80" w:before="60" w:line="245" w:lineRule="auto"/>
              <w:jc w:val="left"/>
            </w:pPr>
            <w:r>
              <w:rPr>
                <w:rFonts w:ascii="Times New Roman" w:hAnsi="Times New Roman"/>
                <w:b w:val="0"/>
                <w:sz w:val="19"/>
              </w:rPr>
              <w:t>Antecedentes históricos con procedencia, mapa agregado, comparación de alternativas y avisos durante un trayecto consentido. No se garantizan rutas seguras.</w:t>
            </w:r>
          </w:p>
        </w:tc>
      </w:tr>
      <w:tr>
        <w:trPr>
          <w:cantSplit/>
        </w:trPr>
        <w:tc>
          <w:tcPr>
            <w:tcW w:type="dxa" w:w="1944"/>
          </w:tcPr>
          <w:p>
            <w:pPr>
              <w:spacing w:after="80" w:before="60" w:line="245" w:lineRule="auto"/>
              <w:jc w:val="left"/>
            </w:pPr>
            <w:r>
              <w:rPr>
                <w:rFonts w:ascii="Times New Roman" w:hAnsi="Times New Roman"/>
                <w:b w:val="0"/>
                <w:sz w:val="19"/>
              </w:rPr>
              <w:t>Operación institucional</w:t>
            </w:r>
          </w:p>
        </w:tc>
        <w:tc>
          <w:tcPr>
            <w:tcW w:type="dxa" w:w="7848"/>
          </w:tcPr>
          <w:p>
            <w:pPr>
              <w:spacing w:after="80" w:before="60" w:line="245" w:lineRule="auto"/>
              <w:jc w:val="left"/>
            </w:pPr>
            <w:r>
              <w:rPr>
                <w:rFonts w:ascii="Times New Roman" w:hAnsi="Times New Roman"/>
                <w:b w:val="0"/>
                <w:sz w:val="19"/>
              </w:rPr>
              <w:t>Bandeja por organización, revisión humana, asignación, gestión, derivación y cierre con respaldo; indicadores y exportación autorizada.</w:t>
            </w:r>
          </w:p>
        </w:tc>
      </w:tr>
      <w:tr>
        <w:trPr>
          <w:cantSplit/>
        </w:trPr>
        <w:tc>
          <w:tcPr>
            <w:tcW w:type="dxa" w:w="1944"/>
          </w:tcPr>
          <w:p>
            <w:pPr>
              <w:spacing w:after="80" w:before="60" w:line="245" w:lineRule="auto"/>
              <w:jc w:val="left"/>
            </w:pPr>
            <w:r>
              <w:rPr>
                <w:rFonts w:ascii="Times New Roman" w:hAnsi="Times New Roman"/>
                <w:b w:val="0"/>
                <w:sz w:val="19"/>
              </w:rPr>
              <w:t>Búsqueda asistida</w:t>
            </w:r>
          </w:p>
        </w:tc>
        <w:tc>
          <w:tcPr>
            <w:tcW w:type="dxa" w:w="7848"/>
          </w:tcPr>
          <w:p>
            <w:pPr>
              <w:spacing w:after="80" w:before="60" w:line="245" w:lineRule="auto"/>
              <w:jc w:val="left"/>
            </w:pPr>
            <w:r>
              <w:rPr>
                <w:rFonts w:ascii="Times New Roman" w:hAnsi="Times New Roman"/>
                <w:b w:val="0"/>
                <w:sz w:val="19"/>
              </w:rPr>
              <w:t>Cámaras autorizadas, observación ancla, corredores posibles, candidatos visuales, recomendaciones revisables y copiloto con soportes.</w:t>
            </w:r>
          </w:p>
        </w:tc>
      </w:tr>
      <w:tr>
        <w:trPr>
          <w:cantSplit/>
        </w:trPr>
        <w:tc>
          <w:tcPr>
            <w:tcW w:type="dxa" w:w="1944"/>
          </w:tcPr>
          <w:p>
            <w:pPr>
              <w:spacing w:after="80" w:before="60" w:line="245" w:lineRule="auto"/>
              <w:jc w:val="left"/>
            </w:pPr>
            <w:r>
              <w:rPr>
                <w:rFonts w:ascii="Times New Roman" w:hAnsi="Times New Roman"/>
                <w:b w:val="0"/>
                <w:sz w:val="19"/>
              </w:rPr>
              <w:t>Condiciones del piloto</w:t>
            </w:r>
          </w:p>
        </w:tc>
        <w:tc>
          <w:tcPr>
            <w:tcW w:type="dxa" w:w="7848"/>
          </w:tcPr>
          <w:p>
            <w:pPr>
              <w:spacing w:after="80" w:before="60" w:line="245" w:lineRule="auto"/>
              <w:jc w:val="left"/>
            </w:pPr>
            <w:r>
              <w:rPr>
                <w:rFonts w:ascii="Times New Roman" w:hAnsi="Times New Roman"/>
                <w:b w:val="0"/>
                <w:sz w:val="19"/>
              </w:rPr>
              <w:t>Conector de video probado con infraestructura autorizada. Sin acceso real, la simulación se identifica expresamente. OE5 y OE6 se presentan para control docente de alcance.</w:t>
            </w:r>
          </w:p>
        </w:tc>
      </w:tr>
    </w:tbl>
    <w:p>
      <w:pPr>
        <w:pStyle w:val="Heading2"/>
      </w:pPr>
      <w:r>
        <w:t>Límite del sistema</w:t>
      </w:r>
    </w:p>
    <w:p>
      <w:r>
        <w:t>Dentro de RutaAlerta se encuentran la aplicación móvil, el panel web, FastAPI, las reglas, la base de datos y los procesos de análisis. Fuera quedan los proveedores de mapas, notificaciones, archivos y video. Un proveedor externo de IA sólo se incorporaría como actor secundario si se acuerda ese despliegue; el modelo ejecutado internamente es un componente, no un actor.</w:t>
      </w:r>
    </w:p>
    <w:p>
      <w:r>
        <w:t>No se incluyen identificación de delincuentes, reconocimiento facial, inmovilización del vehículo, persecución ciudadana, despacho policial automático ni predicción de intención delictiva. Las metas del semestre miden tareas de usuarios y operadores; no atribuyen una disminución nacional de delitos al prototipo.</w:t>
      </w:r>
    </w:p>
    <w:p>
      <w:r>
        <w:br w:type="page"/>
      </w:r>
    </w:p>
    <w:p>
      <w:pPr>
        <w:pStyle w:val="Heading1"/>
      </w:pPr>
      <w:r>
        <w:t>2 Objetivos de resultado</w:t>
      </w:r>
    </w:p>
    <w:p>
      <w:pPr>
        <w:pStyle w:val="Heading2"/>
      </w:pPr>
      <w:r>
        <w:t>Objetivo general</w:t>
      </w:r>
    </w:p>
    <w:p>
      <w:r>
        <w:t>Contribuir a una respuesta ciudadana e institucional más informada, oportuna y trazable frente a incidentes de robo vehicular, mediante una plataforma colaborativa de orientación territorial, gestión de antecedentes, apoyo al afectado y asistencia explicable al operador, evaluada en un piloto al término de las 14 semanas del curso.</w:t>
      </w:r>
    </w:p>
    <w:p>
      <w:pPr>
        <w:pStyle w:val="Heading2"/>
      </w:pPr>
      <w:r>
        <w:t>OE1 Decisiones preventivas informadas</w:t>
      </w:r>
    </w:p>
    <w:p>
      <w:r>
        <w:t>Al finalizar S14, al menos el 80 % de 5 a 10 participantes interpreta correctamente antecedentes, fundamento y límites de rutas en dos escenarios sin ayuda.</w:t>
      </w:r>
    </w:p>
    <w:p>
      <w:pPr>
        <w:pStyle w:val="Heading2"/>
      </w:pPr>
      <w:r>
        <w:t>OE2 Coordinación oportuna</w:t>
      </w:r>
    </w:p>
    <w:p>
      <w:r>
        <w:t>En S13–S14, reducir al menos 20 % la mediana del tiempo para reunir antecedentes correctos, frente a formularios y archivos separados; mínimo 12 pares de ensayos y dos operadores.</w:t>
      </w:r>
    </w:p>
    <w:p>
      <w:pPr>
        <w:pStyle w:val="Heading2"/>
      </w:pPr>
      <w:r>
        <w:t>OE3 Colaboración útil y trazable</w:t>
      </w:r>
    </w:p>
    <w:p>
      <w:r>
        <w:t>En S13–S14, al menos 18 de 20 ejercicios producen un aporte útil, vinculado al caso y con decisión disponible en cinco minutos desde recepción del servidor, con operador disponible.</w:t>
      </w:r>
    </w:p>
    <w:p>
      <w:pPr>
        <w:pStyle w:val="Heading2"/>
      </w:pPr>
      <w:r>
        <w:t>Cómo se diferencian de los requerimientos</w:t>
      </w:r>
    </w:p>
    <w:p>
      <w:r>
        <w:t>Un objetivo expresa un cambio observable al usar la plataforma. Por ejemplo, OE2 busca disminuir el tiempo necesario para reunir antecedentes correctos. “Consultar casos y alertas” es un caso de uso que contribuye a ese cambio; “crear la tabla caso” es una tarea de implementación. Ninguna de esas actividades demuestra por sí sola el cumplimiento de OE2.</w:t>
      </w:r>
    </w:p>
    <w:p>
      <w:pPr>
        <w:pStyle w:val="Heading2"/>
      </w:pPr>
      <w:r>
        <w:t>Evidencia que se conservará</w:t>
      </w:r>
    </w:p>
    <w:p>
      <w:r>
        <w:t>Cada escenario registra versión, instrucciones y respuesta esperada; cada ejecución identifica evaluador, participante mediante código, modalidad, equipo, condiciones de red, inicio, fin y resultado. Las mediciones guardan unidad, valor y observación. El par y orden de ensayo permiten comparar referencia y plataforma sin perder trazabilidad.</w:t>
      </w:r>
    </w:p>
    <w:p>
      <w:r>
        <w:br w:type="page"/>
      </w:r>
    </w:p>
    <w:p>
      <w:pPr>
        <w:pStyle w:val="Heading1"/>
      </w:pPr>
      <w:r>
        <w:t>2 Objetivos de resultado continuación</w:t>
      </w:r>
    </w:p>
    <w:p>
      <w:pPr>
        <w:pStyle w:val="Heading2"/>
      </w:pPr>
      <w:r>
        <w:t>OE4 Autonomía en seguimiento y apoyo</w:t>
      </w:r>
    </w:p>
    <w:p>
      <w:r>
        <w:t>Al finalizar S14, al menos 80 % completa sin ayuda estado, siguiente paso, recurso pertinente y concesión/revocación de contacto, en un máximo de tres minutos.</w:t>
      </w:r>
    </w:p>
    <w:p>
      <w:pPr>
        <w:pStyle w:val="Heading2"/>
      </w:pPr>
      <w:r>
        <w:t>OE5 Búsqueda de evidencia eficiente</w:t>
      </w:r>
    </w:p>
    <w:p>
      <w:r>
        <w:t>En S13–S14, reducir al menos 20 % la mediana hasta encontrar una observación correcta, con asistencia frente a búsqueda manual; mínimo 12 ensayos emparejados y dos operadores, sin aumentar identificaciones erróneas aceptadas.</w:t>
      </w:r>
    </w:p>
    <w:p>
      <w:pPr>
        <w:pStyle w:val="Heading2"/>
      </w:pPr>
      <w:r>
        <w:t>OE6 Interpretación de indicadores</w:t>
      </w:r>
    </w:p>
    <w:p>
      <w:r>
        <w:t>Al finalizar S14, resolver correctamente al menos 10 de 12 tareas de análisis, cada una en tres minutos o menos, identificando período, denominador, procedencia y limitación; dos o más operadores.</w:t>
      </w:r>
    </w:p>
    <w:p>
      <w:pPr>
        <w:pStyle w:val="Heading2"/>
      </w:pPr>
      <w:r>
        <w:t>Criterios de medición</w:t>
      </w:r>
    </w:p>
    <w:p>
      <w:r>
        <w:t>Para OE2 y OE5 se comparan tareas equivalentes, alternando el orden manual/asistido. La reducción temporal se calcula como (mediana de referencia − mediana con plataforma) / mediana de referencia; la referencia debe ser mayor que cero. Un intento sin respuesta correcta a los diez minutos se registra como fracaso y conserva ese límite en el análisis temporal. Se reportan también exactitud y tasa de éxito.</w:t>
      </w:r>
    </w:p>
    <w:p>
      <w:r>
        <w:t>OE3 exige utilidad y revisión oportuna, no sólo un envío exitoso. OE4 exige completar el recorrido completo, incluida la revocación del contacto. En OE6, 80 % de 12 tareas implica al menos diez tareas correctas. Los porcentajes son metas propuestas; no resultados obtenidos.</w:t>
      </w:r>
    </w:p>
    <w:p>
      <w:r>
        <w:t>La muestra es exploratoria. No permite concluir eficacia nacional, recuperación garantizada de vehículos ni mejoría psicológica. Las ampliaciones OE5 y OE6 requieren ratificación en el control de alcance; el modelo ya deja sus datos previstos.</w:t>
      </w:r>
    </w:p>
    <w:p>
      <w:r>
        <w:br w:type="page"/>
      </w:r>
    </w:p>
    <w:p>
      <w:pPr>
        <w:pStyle w:val="Heading1"/>
      </w:pPr>
      <w:r>
        <w:t>3 Actores y responsabilidades</w:t>
      </w:r>
    </w:p>
    <w:tbl>
      <w:tblPr>
        <w:tblStyle w:val="TableGrid"/>
        <w:tblW w:type="auto" w:w="0"/>
        <w:tblLayout w:type="fixed"/>
        <w:tblLook w:firstColumn="1" w:firstRow="1" w:lastColumn="0" w:lastRow="0" w:noHBand="0" w:noVBand="1" w:val="04A0"/>
      </w:tblPr>
      <w:tblGrid>
        <w:gridCol w:w="2160"/>
        <w:gridCol w:w="1512"/>
        <w:gridCol w:w="6120"/>
      </w:tblGrid>
      <w:tr>
        <w:trPr>
          <w:tblHeader/>
          <w:cantSplit/>
        </w:trPr>
        <w:tc>
          <w:tcPr>
            <w:tcW w:type="dxa" w:w="2160"/>
          </w:tcPr>
          <w:p>
            <w:pPr>
              <w:spacing w:after="80" w:before="60" w:line="245" w:lineRule="auto"/>
              <w:jc w:val="left"/>
            </w:pPr>
            <w:r>
              <w:rPr>
                <w:rFonts w:ascii="Times New Roman" w:hAnsi="Times New Roman"/>
                <w:b/>
                <w:sz w:val="19"/>
              </w:rPr>
              <w:t>Actor</w:t>
            </w:r>
          </w:p>
        </w:tc>
        <w:tc>
          <w:tcPr>
            <w:tcW w:type="dxa" w:w="1512"/>
          </w:tcPr>
          <w:p>
            <w:pPr>
              <w:spacing w:after="80" w:before="60" w:line="245" w:lineRule="auto"/>
              <w:jc w:val="left"/>
            </w:pPr>
            <w:r>
              <w:rPr>
                <w:rFonts w:ascii="Times New Roman" w:hAnsi="Times New Roman"/>
                <w:b/>
                <w:sz w:val="19"/>
              </w:rPr>
              <w:t>Tipo</w:t>
            </w:r>
          </w:p>
        </w:tc>
        <w:tc>
          <w:tcPr>
            <w:tcW w:type="dxa" w:w="6120"/>
          </w:tcPr>
          <w:p>
            <w:pPr>
              <w:spacing w:after="80" w:before="60" w:line="245" w:lineRule="auto"/>
              <w:jc w:val="left"/>
            </w:pPr>
            <w:r>
              <w:rPr>
                <w:rFonts w:ascii="Times New Roman" w:hAnsi="Times New Roman"/>
                <w:b/>
                <w:sz w:val="19"/>
              </w:rPr>
              <w:t>Responsabilidad</w:t>
            </w:r>
          </w:p>
        </w:tc>
      </w:tr>
      <w:tr>
        <w:trPr>
          <w:cantSplit/>
        </w:trPr>
        <w:tc>
          <w:tcPr>
            <w:tcW w:type="dxa" w:w="2160"/>
          </w:tcPr>
          <w:p>
            <w:pPr>
              <w:spacing w:after="80" w:before="60" w:line="245" w:lineRule="auto"/>
              <w:jc w:val="left"/>
            </w:pPr>
            <w:r>
              <w:rPr>
                <w:rFonts w:ascii="Times New Roman" w:hAnsi="Times New Roman"/>
                <w:b w:val="0"/>
                <w:sz w:val="19"/>
              </w:rPr>
              <w:t>Ciudadano</w:t>
            </w:r>
          </w:p>
        </w:tc>
        <w:tc>
          <w:tcPr>
            <w:tcW w:type="dxa" w:w="1512"/>
          </w:tcPr>
          <w:p>
            <w:pPr>
              <w:spacing w:after="80" w:before="60" w:line="245" w:lineRule="auto"/>
              <w:jc w:val="left"/>
            </w:pPr>
            <w:r>
              <w:rPr>
                <w:rFonts w:ascii="Times New Roman" w:hAnsi="Times New Roman"/>
                <w:b w:val="0"/>
                <w:sz w:val="19"/>
              </w:rPr>
              <w:t>Primario</w:t>
            </w:r>
          </w:p>
        </w:tc>
        <w:tc>
          <w:tcPr>
            <w:tcW w:type="dxa" w:w="6120"/>
          </w:tcPr>
          <w:p>
            <w:pPr>
              <w:spacing w:after="80" w:before="60" w:line="245" w:lineRule="auto"/>
              <w:jc w:val="left"/>
            </w:pPr>
            <w:r>
              <w:rPr>
                <w:rFonts w:ascii="Times New Roman" w:hAnsi="Times New Roman"/>
                <w:b w:val="0"/>
                <w:sz w:val="19"/>
              </w:rPr>
              <w:t>Persona que usa la app como conductor, propietario, pasajero, testigo o afectado. No requiere vehículo propio para colaborar.</w:t>
            </w:r>
          </w:p>
        </w:tc>
      </w:tr>
      <w:tr>
        <w:trPr>
          <w:cantSplit/>
        </w:trPr>
        <w:tc>
          <w:tcPr>
            <w:tcW w:type="dxa" w:w="2160"/>
          </w:tcPr>
          <w:p>
            <w:pPr>
              <w:spacing w:after="80" w:before="60" w:line="245" w:lineRule="auto"/>
              <w:jc w:val="left"/>
            </w:pPr>
            <w:r>
              <w:rPr>
                <w:rFonts w:ascii="Times New Roman" w:hAnsi="Times New Roman"/>
                <w:b w:val="0"/>
                <w:sz w:val="19"/>
              </w:rPr>
              <w:t>Contacto de confianza</w:t>
            </w:r>
          </w:p>
        </w:tc>
        <w:tc>
          <w:tcPr>
            <w:tcW w:type="dxa" w:w="1512"/>
          </w:tcPr>
          <w:p>
            <w:pPr>
              <w:spacing w:after="80" w:before="60" w:line="245" w:lineRule="auto"/>
              <w:jc w:val="left"/>
            </w:pPr>
            <w:r>
              <w:rPr>
                <w:rFonts w:ascii="Times New Roman" w:hAnsi="Times New Roman"/>
                <w:b w:val="0"/>
                <w:sz w:val="19"/>
              </w:rPr>
              <w:t>Primario</w:t>
            </w:r>
          </w:p>
        </w:tc>
        <w:tc>
          <w:tcPr>
            <w:tcW w:type="dxa" w:w="6120"/>
          </w:tcPr>
          <w:p>
            <w:pPr>
              <w:spacing w:after="80" w:before="60" w:line="245" w:lineRule="auto"/>
              <w:jc w:val="left"/>
            </w:pPr>
            <w:r>
              <w:rPr>
                <w:rFonts w:ascii="Times New Roman" w:hAnsi="Times New Roman"/>
                <w:b w:val="0"/>
                <w:sz w:val="19"/>
              </w:rPr>
              <w:t>Usuario con autorización vigente y revocable para un caso; acceso limitado a seguimiento.</w:t>
            </w:r>
          </w:p>
        </w:tc>
      </w:tr>
      <w:tr>
        <w:trPr>
          <w:cantSplit/>
        </w:trPr>
        <w:tc>
          <w:tcPr>
            <w:tcW w:type="dxa" w:w="2160"/>
          </w:tcPr>
          <w:p>
            <w:pPr>
              <w:spacing w:after="80" w:before="60" w:line="245" w:lineRule="auto"/>
              <w:jc w:val="left"/>
            </w:pPr>
            <w:r>
              <w:rPr>
                <w:rFonts w:ascii="Times New Roman" w:hAnsi="Times New Roman"/>
                <w:b w:val="0"/>
                <w:sz w:val="19"/>
              </w:rPr>
              <w:t>Operador</w:t>
            </w:r>
          </w:p>
        </w:tc>
        <w:tc>
          <w:tcPr>
            <w:tcW w:type="dxa" w:w="1512"/>
          </w:tcPr>
          <w:p>
            <w:pPr>
              <w:spacing w:after="80" w:before="60" w:line="245" w:lineRule="auto"/>
              <w:jc w:val="left"/>
            </w:pPr>
            <w:r>
              <w:rPr>
                <w:rFonts w:ascii="Times New Roman" w:hAnsi="Times New Roman"/>
                <w:b w:val="0"/>
                <w:sz w:val="19"/>
              </w:rPr>
              <w:t>Primario</w:t>
            </w:r>
          </w:p>
        </w:tc>
        <w:tc>
          <w:tcPr>
            <w:tcW w:type="dxa" w:w="6120"/>
          </w:tcPr>
          <w:p>
            <w:pPr>
              <w:spacing w:after="80" w:before="60" w:line="245" w:lineRule="auto"/>
              <w:jc w:val="left"/>
            </w:pPr>
            <w:r>
              <w:rPr>
                <w:rFonts w:ascii="Times New Roman" w:hAnsi="Times New Roman"/>
                <w:b w:val="0"/>
                <w:sz w:val="19"/>
              </w:rPr>
              <w:t>Miembro institucional que consulta expedientes, revisa aportes, registra gestiones y usa asistencia.</w:t>
            </w:r>
          </w:p>
        </w:tc>
      </w:tr>
      <w:tr>
        <w:trPr>
          <w:cantSplit/>
        </w:trPr>
        <w:tc>
          <w:tcPr>
            <w:tcW w:type="dxa" w:w="2160"/>
          </w:tcPr>
          <w:p>
            <w:pPr>
              <w:spacing w:after="80" w:before="60" w:line="245" w:lineRule="auto"/>
              <w:jc w:val="left"/>
            </w:pPr>
            <w:r>
              <w:rPr>
                <w:rFonts w:ascii="Times New Roman" w:hAnsi="Times New Roman"/>
                <w:b w:val="0"/>
                <w:sz w:val="19"/>
              </w:rPr>
              <w:t>Supervisor</w:t>
            </w:r>
          </w:p>
        </w:tc>
        <w:tc>
          <w:tcPr>
            <w:tcW w:type="dxa" w:w="1512"/>
          </w:tcPr>
          <w:p>
            <w:pPr>
              <w:spacing w:after="80" w:before="60" w:line="245" w:lineRule="auto"/>
              <w:jc w:val="left"/>
            </w:pPr>
            <w:r>
              <w:rPr>
                <w:rFonts w:ascii="Times New Roman" w:hAnsi="Times New Roman"/>
                <w:b w:val="0"/>
                <w:sz w:val="19"/>
              </w:rPr>
              <w:t>Primario</w:t>
            </w:r>
          </w:p>
        </w:tc>
        <w:tc>
          <w:tcPr>
            <w:tcW w:type="dxa" w:w="6120"/>
          </w:tcPr>
          <w:p>
            <w:pPr>
              <w:spacing w:after="80" w:before="60" w:line="245" w:lineRule="auto"/>
              <w:jc w:val="left"/>
            </w:pPr>
            <w:r>
              <w:rPr>
                <w:rFonts w:ascii="Times New Roman" w:hAnsi="Times New Roman"/>
                <w:b w:val="0"/>
                <w:sz w:val="19"/>
              </w:rPr>
              <w:t>Especialización de Operador; hereda sus casos de uso y puede asignar responsables.</w:t>
            </w:r>
          </w:p>
        </w:tc>
      </w:tr>
      <w:tr>
        <w:trPr>
          <w:cantSplit/>
        </w:trPr>
        <w:tc>
          <w:tcPr>
            <w:tcW w:type="dxa" w:w="2160"/>
          </w:tcPr>
          <w:p>
            <w:pPr>
              <w:spacing w:after="80" w:before="60" w:line="245" w:lineRule="auto"/>
              <w:jc w:val="left"/>
            </w:pPr>
            <w:r>
              <w:rPr>
                <w:rFonts w:ascii="Times New Roman" w:hAnsi="Times New Roman"/>
                <w:b w:val="0"/>
                <w:sz w:val="19"/>
              </w:rPr>
              <w:t>Administrador</w:t>
            </w:r>
          </w:p>
        </w:tc>
        <w:tc>
          <w:tcPr>
            <w:tcW w:type="dxa" w:w="1512"/>
          </w:tcPr>
          <w:p>
            <w:pPr>
              <w:spacing w:after="80" w:before="60" w:line="245" w:lineRule="auto"/>
              <w:jc w:val="left"/>
            </w:pPr>
            <w:r>
              <w:rPr>
                <w:rFonts w:ascii="Times New Roman" w:hAnsi="Times New Roman"/>
                <w:b w:val="0"/>
                <w:sz w:val="19"/>
              </w:rPr>
              <w:t>Primario</w:t>
            </w:r>
          </w:p>
        </w:tc>
        <w:tc>
          <w:tcPr>
            <w:tcW w:type="dxa" w:w="6120"/>
          </w:tcPr>
          <w:p>
            <w:pPr>
              <w:spacing w:after="80" w:before="60" w:line="245" w:lineRule="auto"/>
              <w:jc w:val="left"/>
            </w:pPr>
            <w:r>
              <w:rPr>
                <w:rFonts w:ascii="Times New Roman" w:hAnsi="Times New Roman"/>
                <w:b w:val="0"/>
                <w:sz w:val="19"/>
              </w:rPr>
              <w:t>Gestiona cuentas, organizaciones, fuentes, recursos y cámaras. No recibe acceso irrestricto a expedientes por defecto.</w:t>
            </w:r>
          </w:p>
        </w:tc>
      </w:tr>
      <w:tr>
        <w:trPr>
          <w:cantSplit/>
        </w:trPr>
        <w:tc>
          <w:tcPr>
            <w:tcW w:type="dxa" w:w="2160"/>
          </w:tcPr>
          <w:p>
            <w:pPr>
              <w:spacing w:after="80" w:before="60" w:line="245" w:lineRule="auto"/>
              <w:jc w:val="left"/>
            </w:pPr>
            <w:r>
              <w:rPr>
                <w:rFonts w:ascii="Times New Roman" w:hAnsi="Times New Roman"/>
                <w:b w:val="0"/>
                <w:sz w:val="19"/>
              </w:rPr>
              <w:t>Evaluador</w:t>
            </w:r>
          </w:p>
        </w:tc>
        <w:tc>
          <w:tcPr>
            <w:tcW w:type="dxa" w:w="1512"/>
          </w:tcPr>
          <w:p>
            <w:pPr>
              <w:spacing w:after="80" w:before="60" w:line="245" w:lineRule="auto"/>
              <w:jc w:val="left"/>
            </w:pPr>
            <w:r>
              <w:rPr>
                <w:rFonts w:ascii="Times New Roman" w:hAnsi="Times New Roman"/>
                <w:b w:val="0"/>
                <w:sz w:val="19"/>
              </w:rPr>
              <w:t>Primario</w:t>
            </w:r>
          </w:p>
        </w:tc>
        <w:tc>
          <w:tcPr>
            <w:tcW w:type="dxa" w:w="6120"/>
          </w:tcPr>
          <w:p>
            <w:pPr>
              <w:spacing w:after="80" w:before="60" w:line="245" w:lineRule="auto"/>
              <w:jc w:val="left"/>
            </w:pPr>
            <w:r>
              <w:rPr>
                <w:rFonts w:ascii="Times New Roman" w:hAnsi="Times New Roman"/>
                <w:b w:val="0"/>
                <w:sz w:val="19"/>
              </w:rPr>
              <w:t>Ejecuta escenarios controlados y registra mediciones de objetivos.</w:t>
            </w:r>
          </w:p>
        </w:tc>
      </w:tr>
      <w:tr>
        <w:trPr>
          <w:cantSplit/>
        </w:trPr>
        <w:tc>
          <w:tcPr>
            <w:tcW w:type="dxa" w:w="2160"/>
          </w:tcPr>
          <w:p>
            <w:pPr>
              <w:spacing w:after="80" w:before="60" w:line="245" w:lineRule="auto"/>
              <w:jc w:val="left"/>
            </w:pPr>
            <w:r>
              <w:rPr>
                <w:rFonts w:ascii="Times New Roman" w:hAnsi="Times New Roman"/>
                <w:b w:val="0"/>
                <w:sz w:val="19"/>
              </w:rPr>
              <w:t>Proveedor de mapas y rutas</w:t>
            </w:r>
          </w:p>
        </w:tc>
        <w:tc>
          <w:tcPr>
            <w:tcW w:type="dxa" w:w="1512"/>
          </w:tcPr>
          <w:p>
            <w:pPr>
              <w:spacing w:after="80" w:before="60" w:line="245" w:lineRule="auto"/>
              <w:jc w:val="left"/>
            </w:pPr>
            <w:r>
              <w:rPr>
                <w:rFonts w:ascii="Times New Roman" w:hAnsi="Times New Roman"/>
                <w:b w:val="0"/>
                <w:sz w:val="19"/>
              </w:rPr>
              <w:t>Secundario externo</w:t>
            </w:r>
          </w:p>
        </w:tc>
        <w:tc>
          <w:tcPr>
            <w:tcW w:type="dxa" w:w="6120"/>
          </w:tcPr>
          <w:p>
            <w:pPr>
              <w:spacing w:after="80" w:before="60" w:line="245" w:lineRule="auto"/>
              <w:jc w:val="left"/>
            </w:pPr>
            <w:r>
              <w:rPr>
                <w:rFonts w:ascii="Times New Roman" w:hAnsi="Times New Roman"/>
                <w:b w:val="0"/>
                <w:sz w:val="19"/>
              </w:rPr>
              <w:t>Devuelve cartografía y recorridos. No decide qué ruta es segura.</w:t>
            </w:r>
          </w:p>
        </w:tc>
      </w:tr>
      <w:tr>
        <w:trPr>
          <w:cantSplit/>
        </w:trPr>
        <w:tc>
          <w:tcPr>
            <w:tcW w:type="dxa" w:w="2160"/>
          </w:tcPr>
          <w:p>
            <w:pPr>
              <w:spacing w:after="80" w:before="60" w:line="245" w:lineRule="auto"/>
              <w:jc w:val="left"/>
            </w:pPr>
            <w:r>
              <w:rPr>
                <w:rFonts w:ascii="Times New Roman" w:hAnsi="Times New Roman"/>
                <w:b w:val="0"/>
                <w:sz w:val="19"/>
              </w:rPr>
              <w:t>Proveedor de notificaciones</w:t>
            </w:r>
          </w:p>
        </w:tc>
        <w:tc>
          <w:tcPr>
            <w:tcW w:type="dxa" w:w="1512"/>
          </w:tcPr>
          <w:p>
            <w:pPr>
              <w:spacing w:after="80" w:before="60" w:line="245" w:lineRule="auto"/>
              <w:jc w:val="left"/>
            </w:pPr>
            <w:r>
              <w:rPr>
                <w:rFonts w:ascii="Times New Roman" w:hAnsi="Times New Roman"/>
                <w:b w:val="0"/>
                <w:sz w:val="19"/>
              </w:rPr>
              <w:t>Secundario externo</w:t>
            </w:r>
          </w:p>
        </w:tc>
        <w:tc>
          <w:tcPr>
            <w:tcW w:type="dxa" w:w="6120"/>
          </w:tcPr>
          <w:p>
            <w:pPr>
              <w:spacing w:after="80" w:before="60" w:line="245" w:lineRule="auto"/>
              <w:jc w:val="left"/>
            </w:pPr>
            <w:r>
              <w:rPr>
                <w:rFonts w:ascii="Times New Roman" w:hAnsi="Times New Roman"/>
                <w:b w:val="0"/>
                <w:sz w:val="19"/>
              </w:rPr>
              <w:t>Transporta avisos habilitados; no garantiza lectura ni atención institucional.</w:t>
            </w:r>
          </w:p>
        </w:tc>
      </w:tr>
      <w:tr>
        <w:trPr>
          <w:cantSplit/>
        </w:trPr>
        <w:tc>
          <w:tcPr>
            <w:tcW w:type="dxa" w:w="2160"/>
          </w:tcPr>
          <w:p>
            <w:pPr>
              <w:spacing w:after="80" w:before="60" w:line="245" w:lineRule="auto"/>
              <w:jc w:val="left"/>
            </w:pPr>
            <w:r>
              <w:rPr>
                <w:rFonts w:ascii="Times New Roman" w:hAnsi="Times New Roman"/>
                <w:b w:val="0"/>
                <w:sz w:val="19"/>
              </w:rPr>
              <w:t>Almacenamiento privado de archivos</w:t>
            </w:r>
          </w:p>
        </w:tc>
        <w:tc>
          <w:tcPr>
            <w:tcW w:type="dxa" w:w="1512"/>
          </w:tcPr>
          <w:p>
            <w:pPr>
              <w:spacing w:after="80" w:before="60" w:line="245" w:lineRule="auto"/>
              <w:jc w:val="left"/>
            </w:pPr>
            <w:r>
              <w:rPr>
                <w:rFonts w:ascii="Times New Roman" w:hAnsi="Times New Roman"/>
                <w:b w:val="0"/>
                <w:sz w:val="19"/>
              </w:rPr>
              <w:t>Secundario externo</w:t>
            </w:r>
          </w:p>
        </w:tc>
        <w:tc>
          <w:tcPr>
            <w:tcW w:type="dxa" w:w="6120"/>
          </w:tcPr>
          <w:p>
            <w:pPr>
              <w:spacing w:after="80" w:before="60" w:line="245" w:lineRule="auto"/>
              <w:jc w:val="left"/>
            </w:pPr>
            <w:r>
              <w:rPr>
                <w:rFonts w:ascii="Times New Roman" w:hAnsi="Times New Roman"/>
                <w:b w:val="0"/>
                <w:sz w:val="19"/>
              </w:rPr>
              <w:t>Conserva archivos autorizados; los metadatos y permisos están en RutaAlerta.</w:t>
            </w:r>
          </w:p>
        </w:tc>
      </w:tr>
      <w:tr>
        <w:trPr>
          <w:cantSplit/>
        </w:trPr>
        <w:tc>
          <w:tcPr>
            <w:tcW w:type="dxa" w:w="2160"/>
          </w:tcPr>
          <w:p>
            <w:pPr>
              <w:spacing w:after="80" w:before="60" w:line="245" w:lineRule="auto"/>
              <w:jc w:val="left"/>
            </w:pPr>
            <w:r>
              <w:rPr>
                <w:rFonts w:ascii="Times New Roman" w:hAnsi="Times New Roman"/>
                <w:b w:val="0"/>
                <w:sz w:val="19"/>
              </w:rPr>
              <w:t>Sistema de video autorizado</w:t>
            </w:r>
          </w:p>
        </w:tc>
        <w:tc>
          <w:tcPr>
            <w:tcW w:type="dxa" w:w="1512"/>
          </w:tcPr>
          <w:p>
            <w:pPr>
              <w:spacing w:after="80" w:before="60" w:line="245" w:lineRule="auto"/>
              <w:jc w:val="left"/>
            </w:pPr>
            <w:r>
              <w:rPr>
                <w:rFonts w:ascii="Times New Roman" w:hAnsi="Times New Roman"/>
                <w:b w:val="0"/>
                <w:sz w:val="19"/>
              </w:rPr>
              <w:t>Secundario externo</w:t>
            </w:r>
          </w:p>
        </w:tc>
        <w:tc>
          <w:tcPr>
            <w:tcW w:type="dxa" w:w="6120"/>
          </w:tcPr>
          <w:p>
            <w:pPr>
              <w:spacing w:after="80" w:before="60" w:line="245" w:lineRule="auto"/>
              <w:jc w:val="left"/>
            </w:pPr>
            <w:r>
              <w:rPr>
                <w:rFonts w:ascii="Times New Roman" w:hAnsi="Times New Roman"/>
                <w:b w:val="0"/>
                <w:sz w:val="19"/>
              </w:rPr>
              <w:t>Entrega transmisión o grabación mediante un conector comprobado. No presupone convenio municipal.</w:t>
            </w:r>
          </w:p>
        </w:tc>
      </w:tr>
    </w:tbl>
    <w:p>
      <w:r>
        <w:t>El Supervisor generaliza al Operador: puede realizar los casos de uso de operación además de asignar responsables. “Afectado”, “propietario” y “testigo” son contextos del ciudadano, no cuentas necesariamente distintas. El contacto de confianza requiere una autorización vigente para cada caso.</w:t>
      </w:r>
    </w:p>
    <w:p>
      <w:r>
        <w:t>PostgreSQL, FastAPI, Flutter y el motor interno de IA no se dibujan como actores, porque son componentes del sistema. Los docentes actúan como Evaluadores cuando ejecutan escenarios; no se presume que operen una central real.</w:t>
      </w:r>
    </w:p>
    <w:p>
      <w:r>
        <w:br w:type="page"/>
      </w:r>
    </w:p>
    <w:p>
      <w:pPr>
        <w:pStyle w:val="Heading1"/>
      </w:pPr>
      <w:r>
        <w:t>4 Diagrama UML y reglas de lectura</w:t>
      </w:r>
    </w:p>
    <w:p>
      <w:r>
        <w:t>El archivo Diagramas_UML.pdf contiene el diagrama general con CU01 a CU31 y cinco vistas de detalle. UML_General.svg conserva toda la resolución; UML_General.puml y los archivos DOT permiten editar el modelo. En el visor se puede ampliar y buscar un caso por su código.</w:t>
      </w:r>
    </w:p>
    <w:tbl>
      <w:tblPr>
        <w:tblStyle w:val="TableGrid"/>
        <w:tblW w:type="auto" w:w="0"/>
        <w:tblLayout w:type="fixed"/>
        <w:tblLook w:firstColumn="1" w:firstRow="1" w:lastColumn="0" w:lastRow="0" w:noHBand="0" w:noVBand="1" w:val="04A0"/>
      </w:tblPr>
      <w:tblGrid>
        <w:gridCol w:w="2952"/>
        <w:gridCol w:w="6840"/>
      </w:tblGrid>
      <w:tr>
        <w:trPr>
          <w:tblHeader/>
          <w:cantSplit/>
        </w:trPr>
        <w:tc>
          <w:tcPr>
            <w:tcW w:type="dxa" w:w="2952"/>
          </w:tcPr>
          <w:p>
            <w:pPr>
              <w:spacing w:after="80" w:before="60" w:line="245" w:lineRule="auto"/>
              <w:jc w:val="left"/>
            </w:pPr>
            <w:r>
              <w:rPr>
                <w:rFonts w:ascii="Times New Roman" w:hAnsi="Times New Roman"/>
                <w:b/>
                <w:sz w:val="19"/>
              </w:rPr>
              <w:t>Relación</w:t>
            </w:r>
          </w:p>
        </w:tc>
        <w:tc>
          <w:tcPr>
            <w:tcW w:type="dxa" w:w="6840"/>
          </w:tcPr>
          <w:p>
            <w:pPr>
              <w:spacing w:after="80" w:before="60" w:line="245" w:lineRule="auto"/>
              <w:jc w:val="left"/>
            </w:pPr>
            <w:r>
              <w:rPr>
                <w:rFonts w:ascii="Times New Roman" w:hAnsi="Times New Roman"/>
                <w:b/>
                <w:sz w:val="19"/>
              </w:rPr>
              <w:t>Interpretación</w:t>
            </w:r>
          </w:p>
        </w:tc>
      </w:tr>
      <w:tr>
        <w:trPr>
          <w:cantSplit/>
        </w:trPr>
        <w:tc>
          <w:tcPr>
            <w:tcW w:type="dxa" w:w="2952"/>
          </w:tcPr>
          <w:p>
            <w:pPr>
              <w:spacing w:after="80" w:before="60" w:line="245" w:lineRule="auto"/>
              <w:jc w:val="left"/>
            </w:pPr>
            <w:r>
              <w:rPr>
                <w:rFonts w:ascii="Times New Roman" w:hAnsi="Times New Roman"/>
                <w:b w:val="0"/>
                <w:sz w:val="19"/>
              </w:rPr>
              <w:t>CU09 → CU08 «include»</w:t>
            </w:r>
          </w:p>
        </w:tc>
        <w:tc>
          <w:tcPr>
            <w:tcW w:type="dxa" w:w="6840"/>
          </w:tcPr>
          <w:p>
            <w:pPr>
              <w:spacing w:after="80" w:before="60" w:line="245" w:lineRule="auto"/>
              <w:jc w:val="left"/>
            </w:pPr>
            <w:r>
              <w:rPr>
                <w:rFonts w:ascii="Times New Roman" w:hAnsi="Times New Roman"/>
                <w:b w:val="0"/>
                <w:sz w:val="19"/>
              </w:rPr>
              <w:t>Comparar alternativas incorpora obligatoriamente la consulta de antecedentes territoriales, incluso cuando el resultado es información insuficiente.</w:t>
            </w:r>
          </w:p>
        </w:tc>
      </w:tr>
      <w:tr>
        <w:trPr>
          <w:cantSplit/>
        </w:trPr>
        <w:tc>
          <w:tcPr>
            <w:tcW w:type="dxa" w:w="2952"/>
          </w:tcPr>
          <w:p>
            <w:pPr>
              <w:spacing w:after="80" w:before="60" w:line="245" w:lineRule="auto"/>
              <w:jc w:val="left"/>
            </w:pPr>
            <w:r>
              <w:rPr>
                <w:rFonts w:ascii="Times New Roman" w:hAnsi="Times New Roman"/>
                <w:b w:val="0"/>
                <w:sz w:val="19"/>
              </w:rPr>
              <w:t>CU04 → CU03 «extend»</w:t>
            </w:r>
          </w:p>
        </w:tc>
        <w:tc>
          <w:tcPr>
            <w:tcW w:type="dxa" w:w="6840"/>
          </w:tcPr>
          <w:p>
            <w:pPr>
              <w:spacing w:after="80" w:before="60" w:line="245" w:lineRule="auto"/>
              <w:jc w:val="left"/>
            </w:pPr>
            <w:r>
              <w:rPr>
                <w:rFonts w:ascii="Times New Roman" w:hAnsi="Times New Roman"/>
                <w:b w:val="0"/>
                <w:sz w:val="19"/>
              </w:rPr>
              <w:t>Aportar evidencia es una ampliación opcional al reportar un incidente. Punto de extensión: adjuntar archivo.</w:t>
            </w:r>
          </w:p>
        </w:tc>
      </w:tr>
      <w:tr>
        <w:trPr>
          <w:cantSplit/>
        </w:trPr>
        <w:tc>
          <w:tcPr>
            <w:tcW w:type="dxa" w:w="2952"/>
          </w:tcPr>
          <w:p>
            <w:pPr>
              <w:spacing w:after="80" w:before="60" w:line="245" w:lineRule="auto"/>
              <w:jc w:val="left"/>
            </w:pPr>
            <w:r>
              <w:rPr>
                <w:rFonts w:ascii="Times New Roman" w:hAnsi="Times New Roman"/>
                <w:b w:val="0"/>
                <w:sz w:val="19"/>
              </w:rPr>
              <w:t>CU04 → CU05 «extend»</w:t>
            </w:r>
          </w:p>
        </w:tc>
        <w:tc>
          <w:tcPr>
            <w:tcW w:type="dxa" w:w="6840"/>
          </w:tcPr>
          <w:p>
            <w:pPr>
              <w:spacing w:after="80" w:before="60" w:line="245" w:lineRule="auto"/>
              <w:jc w:val="left"/>
            </w:pPr>
            <w:r>
              <w:rPr>
                <w:rFonts w:ascii="Times New Roman" w:hAnsi="Times New Roman"/>
                <w:b w:val="0"/>
                <w:sz w:val="19"/>
              </w:rPr>
              <w:t>Aportar evidencia es una ampliación opcional al comunicar un avistamiento. Punto de extensión: adjuntar archivo.</w:t>
            </w:r>
          </w:p>
        </w:tc>
      </w:tr>
      <w:tr>
        <w:trPr>
          <w:cantSplit/>
        </w:trPr>
        <w:tc>
          <w:tcPr>
            <w:tcW w:type="dxa" w:w="2952"/>
          </w:tcPr>
          <w:p>
            <w:pPr>
              <w:spacing w:after="80" w:before="60" w:line="245" w:lineRule="auto"/>
              <w:jc w:val="left"/>
            </w:pPr>
            <w:r>
              <w:rPr>
                <w:rFonts w:ascii="Times New Roman" w:hAnsi="Times New Roman"/>
                <w:b w:val="0"/>
                <w:sz w:val="19"/>
              </w:rPr>
              <w:t>CU25 → CU10 «extend»</w:t>
            </w:r>
          </w:p>
        </w:tc>
        <w:tc>
          <w:tcPr>
            <w:tcW w:type="dxa" w:w="6840"/>
          </w:tcPr>
          <w:p>
            <w:pPr>
              <w:spacing w:after="80" w:before="60" w:line="245" w:lineRule="auto"/>
              <w:jc w:val="left"/>
            </w:pPr>
            <w:r>
              <w:rPr>
                <w:rFonts w:ascii="Times New Roman" w:hAnsi="Times New Roman"/>
                <w:b w:val="0"/>
                <w:sz w:val="19"/>
              </w:rPr>
              <w:t>Recibir un aviso amplía el trayecto activo cuando se cumple proximidad, relevancia y permiso de aviso.</w:t>
            </w:r>
          </w:p>
        </w:tc>
      </w:tr>
      <w:tr>
        <w:trPr>
          <w:cantSplit/>
        </w:trPr>
        <w:tc>
          <w:tcPr>
            <w:tcW w:type="dxa" w:w="2952"/>
          </w:tcPr>
          <w:p>
            <w:pPr>
              <w:spacing w:after="80" w:before="60" w:line="245" w:lineRule="auto"/>
              <w:jc w:val="left"/>
            </w:pPr>
            <w:r>
              <w:rPr>
                <w:rFonts w:ascii="Times New Roman" w:hAnsi="Times New Roman"/>
                <w:b w:val="0"/>
                <w:sz w:val="19"/>
              </w:rPr>
              <w:t>Supervisor → Operador</w:t>
            </w:r>
          </w:p>
        </w:tc>
        <w:tc>
          <w:tcPr>
            <w:tcW w:type="dxa" w:w="6840"/>
          </w:tcPr>
          <w:p>
            <w:pPr>
              <w:spacing w:after="80" w:before="60" w:line="245" w:lineRule="auto"/>
              <w:jc w:val="left"/>
            </w:pPr>
            <w:r>
              <w:rPr>
                <w:rFonts w:ascii="Times New Roman" w:hAnsi="Times New Roman"/>
                <w:b w:val="0"/>
                <w:sz w:val="19"/>
              </w:rPr>
              <w:t>Generalización con triángulo vacío dirigido a Operador. Las asociaciones simples no representan orden temporal.</w:t>
            </w:r>
          </w:p>
        </w:tc>
      </w:tr>
    </w:tbl>
    <w:p>
      <w:r>
        <w:t>La identidad y los permisos son precondiciones de los casos privados. No se repite un «include» de autenticación en todas las acciones. Los casos expresan objetivos del actor; las cargas internas, validaciones SQL y procesos de notificación no se añaden como casos de uso técnicos.</w:t>
      </w:r>
    </w:p>
    <w:p>
      <w:pPr>
        <w:jc w:val="center"/>
      </w:pPr>
      <w:r>
        <w:drawing>
          <wp:inline xmlns:a="http://schemas.openxmlformats.org/drawingml/2006/main" xmlns:pic="http://schemas.openxmlformats.org/drawingml/2006/picture">
            <wp:extent cx="6126480" cy="2328062"/>
            <wp:docPr id="1" name="Picture 1" descr="UML 02 Territorio y avisos.png"/>
            <wp:cNvGraphicFramePr>
              <a:graphicFrameLocks noChangeAspect="1"/>
            </wp:cNvGraphicFramePr>
            <a:graphic>
              <a:graphicData uri="http://schemas.openxmlformats.org/drawingml/2006/picture">
                <pic:pic>
                  <pic:nvPicPr>
                    <pic:cNvPr id="0" name="UML_02_Territorio_y_avisos.png"/>
                    <pic:cNvPicPr/>
                  </pic:nvPicPr>
                  <pic:blipFill>
                    <a:blip r:embed="rId10"/>
                    <a:stretch>
                      <a:fillRect/>
                    </a:stretch>
                  </pic:blipFill>
                  <pic:spPr>
                    <a:xfrm>
                      <a:off x="0" y="0"/>
                      <a:ext cx="6126480" cy="2328062"/>
                    </a:xfrm>
                    <a:prstGeom prst="rect"/>
                  </pic:spPr>
                </pic:pic>
              </a:graphicData>
            </a:graphic>
          </wp:inline>
        </w:drawing>
      </w:r>
    </w:p>
    <w:p>
      <w:pPr>
        <w:pStyle w:val="Caption"/>
      </w:pPr>
      <w:r>
        <w:t>Ejemplo de la notación utilizada. El rectángulo delimita RutaAlerta; los actores externos permanecen fuera del sistema. El diagrama general y todas las vistas de detalle acompañan este informe.</w:t>
      </w:r>
    </w:p>
    <w:p>
      <w:r>
        <w:br w:type="page"/>
      </w:r>
    </w:p>
    <w:p>
      <w:pPr>
        <w:pStyle w:val="Heading1"/>
      </w:pPr>
      <w:r>
        <w:t>5 Trazabilidad de casos de uso y objetivos</w:t>
      </w:r>
    </w:p>
    <w:p>
      <w:r>
        <w:t>Cada fila vincula la acción del actor con resultados del proyecto y sus datos principales. D significa contribución directa; H, habilitante. La matriz CSV incluye todas las entidades de soporte de cada caso.</w:t>
      </w:r>
    </w:p>
    <w:tbl>
      <w:tblPr>
        <w:tblStyle w:val="TableGrid"/>
        <w:tblW w:type="auto" w:w="0"/>
        <w:tblLayout w:type="fixed"/>
        <w:tblLook w:firstColumn="1" w:firstRow="1" w:lastColumn="0" w:lastRow="0" w:noHBand="0" w:noVBand="1" w:val="04A0"/>
      </w:tblPr>
      <w:tblGrid>
        <w:gridCol w:w="2952"/>
        <w:gridCol w:w="1469"/>
        <w:gridCol w:w="1224"/>
        <w:gridCol w:w="4147"/>
      </w:tblGrid>
      <w:tr>
        <w:trPr>
          <w:tblHeader/>
          <w:cantSplit/>
        </w:trPr>
        <w:tc>
          <w:tcPr>
            <w:tcW w:type="dxa" w:w="2952"/>
          </w:tcPr>
          <w:p>
            <w:pPr>
              <w:spacing w:after="80" w:before="60" w:line="245" w:lineRule="auto"/>
              <w:jc w:val="left"/>
            </w:pPr>
            <w:r>
              <w:rPr>
                <w:rFonts w:ascii="Times New Roman" w:hAnsi="Times New Roman"/>
                <w:b/>
                <w:sz w:val="19"/>
              </w:rPr>
              <w:t>Caso de uso</w:t>
            </w:r>
          </w:p>
        </w:tc>
        <w:tc>
          <w:tcPr>
            <w:tcW w:type="dxa" w:w="1469"/>
          </w:tcPr>
          <w:p>
            <w:pPr>
              <w:spacing w:after="80" w:before="60" w:line="245" w:lineRule="auto"/>
              <w:jc w:val="left"/>
            </w:pPr>
            <w:r>
              <w:rPr>
                <w:rFonts w:ascii="Times New Roman" w:hAnsi="Times New Roman"/>
                <w:b/>
                <w:sz w:val="19"/>
              </w:rPr>
              <w:t>Actor</w:t>
            </w:r>
          </w:p>
        </w:tc>
        <w:tc>
          <w:tcPr>
            <w:tcW w:type="dxa" w:w="1224"/>
          </w:tcPr>
          <w:p>
            <w:pPr>
              <w:spacing w:after="80" w:before="60" w:line="245" w:lineRule="auto"/>
              <w:jc w:val="left"/>
            </w:pPr>
            <w:r>
              <w:rPr>
                <w:rFonts w:ascii="Times New Roman" w:hAnsi="Times New Roman"/>
                <w:b/>
                <w:sz w:val="19"/>
              </w:rPr>
              <w:t>Objetivos</w:t>
            </w:r>
          </w:p>
        </w:tc>
        <w:tc>
          <w:tcPr>
            <w:tcW w:type="dxa" w:w="4147"/>
          </w:tcPr>
          <w:p>
            <w:pPr>
              <w:spacing w:after="80" w:before="60" w:line="245" w:lineRule="auto"/>
              <w:jc w:val="left"/>
            </w:pPr>
            <w:r>
              <w:rPr>
                <w:rFonts w:ascii="Times New Roman" w:hAnsi="Times New Roman"/>
                <w:b/>
                <w:sz w:val="19"/>
              </w:rPr>
              <w:t>Datos principales</w:t>
            </w:r>
          </w:p>
        </w:tc>
      </w:tr>
      <w:tr>
        <w:trPr>
          <w:cantSplit/>
        </w:trPr>
        <w:tc>
          <w:tcPr>
            <w:tcW w:type="dxa" w:w="2952"/>
          </w:tcPr>
          <w:p>
            <w:pPr>
              <w:spacing w:after="80" w:before="60" w:line="245" w:lineRule="auto"/>
              <w:jc w:val="left"/>
            </w:pPr>
            <w:r>
              <w:rPr>
                <w:rFonts w:ascii="Times New Roman" w:hAnsi="Times New Roman"/>
                <w:b w:val="0"/>
                <w:sz w:val="19"/>
              </w:rPr>
              <w:t>CU01 Administrar cuenta</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OE1, OE2, OE3, OE4, OE5, OE6</w:t>
              <w:br/>
              <w:t>H</w:t>
            </w:r>
          </w:p>
        </w:tc>
        <w:tc>
          <w:tcPr>
            <w:tcW w:type="dxa" w:w="4147"/>
          </w:tcPr>
          <w:p>
            <w:pPr>
              <w:spacing w:after="80" w:before="60" w:line="245" w:lineRule="auto"/>
              <w:jc w:val="left"/>
            </w:pPr>
            <w:r>
              <w:rPr>
                <w:rFonts w:ascii="Times New Roman" w:hAnsi="Times New Roman"/>
                <w:b w:val="0"/>
                <w:sz w:val="19"/>
              </w:rPr>
              <w:t>usuario, rol, usuario_rol, token_acceso y soporte</w:t>
            </w:r>
          </w:p>
        </w:tc>
      </w:tr>
      <w:tr>
        <w:trPr>
          <w:cantSplit/>
        </w:trPr>
        <w:tc>
          <w:tcPr>
            <w:tcW w:type="dxa" w:w="2952"/>
          </w:tcPr>
          <w:p>
            <w:pPr>
              <w:spacing w:after="80" w:before="60" w:line="245" w:lineRule="auto"/>
              <w:jc w:val="left"/>
            </w:pPr>
            <w:r>
              <w:rPr>
                <w:rFonts w:ascii="Times New Roman" w:hAnsi="Times New Roman"/>
                <w:b w:val="0"/>
                <w:sz w:val="19"/>
              </w:rPr>
              <w:t>CU02 Registrar vehículo</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OE2, OE3</w:t>
              <w:br/>
              <w:t>D</w:t>
            </w:r>
          </w:p>
        </w:tc>
        <w:tc>
          <w:tcPr>
            <w:tcW w:type="dxa" w:w="4147"/>
          </w:tcPr>
          <w:p>
            <w:pPr>
              <w:spacing w:after="80" w:before="60" w:line="245" w:lineRule="auto"/>
              <w:jc w:val="left"/>
            </w:pPr>
            <w:r>
              <w:rPr>
                <w:rFonts w:ascii="Times New Roman" w:hAnsi="Times New Roman"/>
                <w:b w:val="0"/>
                <w:sz w:val="19"/>
              </w:rPr>
              <w:t>marca, modelo, vehiculo, foto_vehiculo y soporte</w:t>
            </w:r>
          </w:p>
        </w:tc>
      </w:tr>
      <w:tr>
        <w:trPr>
          <w:cantSplit/>
        </w:trPr>
        <w:tc>
          <w:tcPr>
            <w:tcW w:type="dxa" w:w="2952"/>
          </w:tcPr>
          <w:p>
            <w:pPr>
              <w:spacing w:after="80" w:before="60" w:line="245" w:lineRule="auto"/>
              <w:jc w:val="left"/>
            </w:pPr>
            <w:r>
              <w:rPr>
                <w:rFonts w:ascii="Times New Roman" w:hAnsi="Times New Roman"/>
                <w:b w:val="0"/>
                <w:sz w:val="19"/>
              </w:rPr>
              <w:t>CU03 Reportar incidente</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OE2, OE4</w:t>
              <w:br/>
              <w:t>D</w:t>
            </w:r>
          </w:p>
        </w:tc>
        <w:tc>
          <w:tcPr>
            <w:tcW w:type="dxa" w:w="4147"/>
          </w:tcPr>
          <w:p>
            <w:pPr>
              <w:spacing w:after="80" w:before="60" w:line="245" w:lineRule="auto"/>
              <w:jc w:val="left"/>
            </w:pPr>
            <w:r>
              <w:rPr>
                <w:rFonts w:ascii="Times New Roman" w:hAnsi="Times New Roman"/>
                <w:b w:val="0"/>
                <w:sz w:val="19"/>
              </w:rPr>
              <w:t>caso, vehiculo, usuario, organizacion y soporte</w:t>
            </w:r>
          </w:p>
        </w:tc>
      </w:tr>
      <w:tr>
        <w:trPr>
          <w:cantSplit/>
        </w:trPr>
        <w:tc>
          <w:tcPr>
            <w:tcW w:type="dxa" w:w="2952"/>
          </w:tcPr>
          <w:p>
            <w:pPr>
              <w:spacing w:after="80" w:before="60" w:line="245" w:lineRule="auto"/>
              <w:jc w:val="left"/>
            </w:pPr>
            <w:r>
              <w:rPr>
                <w:rFonts w:ascii="Times New Roman" w:hAnsi="Times New Roman"/>
                <w:b w:val="0"/>
                <w:sz w:val="19"/>
              </w:rPr>
              <w:t>CU04 Aportar evidencia</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OE2, OE3</w:t>
              <w:br/>
              <w:t>D</w:t>
            </w:r>
          </w:p>
        </w:tc>
        <w:tc>
          <w:tcPr>
            <w:tcW w:type="dxa" w:w="4147"/>
          </w:tcPr>
          <w:p>
            <w:pPr>
              <w:spacing w:after="80" w:before="60" w:line="245" w:lineRule="auto"/>
              <w:jc w:val="left"/>
            </w:pPr>
            <w:r>
              <w:rPr>
                <w:rFonts w:ascii="Times New Roman" w:hAnsi="Times New Roman"/>
                <w:b w:val="0"/>
                <w:sz w:val="19"/>
              </w:rPr>
              <w:t>evidencia, caso, avistamiento</w:t>
            </w:r>
          </w:p>
        </w:tc>
      </w:tr>
      <w:tr>
        <w:trPr>
          <w:cantSplit/>
        </w:trPr>
        <w:tc>
          <w:tcPr>
            <w:tcW w:type="dxa" w:w="2952"/>
          </w:tcPr>
          <w:p>
            <w:pPr>
              <w:spacing w:after="80" w:before="60" w:line="245" w:lineRule="auto"/>
              <w:jc w:val="left"/>
            </w:pPr>
            <w:r>
              <w:rPr>
                <w:rFonts w:ascii="Times New Roman" w:hAnsi="Times New Roman"/>
                <w:b w:val="0"/>
                <w:sz w:val="19"/>
              </w:rPr>
              <w:t>CU05 Comunicar avistamiento</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OE3</w:t>
              <w:br/>
              <w:t>D</w:t>
            </w:r>
          </w:p>
        </w:tc>
        <w:tc>
          <w:tcPr>
            <w:tcW w:type="dxa" w:w="4147"/>
          </w:tcPr>
          <w:p>
            <w:pPr>
              <w:spacing w:after="80" w:before="60" w:line="245" w:lineRule="auto"/>
              <w:jc w:val="left"/>
            </w:pPr>
            <w:r>
              <w:rPr>
                <w:rFonts w:ascii="Times New Roman" w:hAnsi="Times New Roman"/>
                <w:b w:val="0"/>
                <w:sz w:val="19"/>
              </w:rPr>
              <w:t>solicitud_colaboracion, avistamiento, evidencia, evento_salida</w:t>
            </w:r>
          </w:p>
        </w:tc>
      </w:tr>
      <w:tr>
        <w:trPr>
          <w:cantSplit/>
        </w:trPr>
        <w:tc>
          <w:tcPr>
            <w:tcW w:type="dxa" w:w="2952"/>
          </w:tcPr>
          <w:p>
            <w:pPr>
              <w:spacing w:after="80" w:before="60" w:line="245" w:lineRule="auto"/>
              <w:jc w:val="left"/>
            </w:pPr>
            <w:r>
              <w:rPr>
                <w:rFonts w:ascii="Times New Roman" w:hAnsi="Times New Roman"/>
                <w:b w:val="0"/>
                <w:sz w:val="19"/>
              </w:rPr>
              <w:t>CU06 Consultar seguimiento y orientación</w:t>
            </w:r>
          </w:p>
        </w:tc>
        <w:tc>
          <w:tcPr>
            <w:tcW w:type="dxa" w:w="1469"/>
          </w:tcPr>
          <w:p>
            <w:pPr>
              <w:spacing w:after="80" w:before="60" w:line="245" w:lineRule="auto"/>
              <w:jc w:val="left"/>
            </w:pPr>
            <w:r>
              <w:rPr>
                <w:rFonts w:ascii="Times New Roman" w:hAnsi="Times New Roman"/>
                <w:b w:val="0"/>
                <w:sz w:val="19"/>
              </w:rPr>
              <w:t>Ciudadano / Contacto de confianza</w:t>
            </w:r>
          </w:p>
        </w:tc>
        <w:tc>
          <w:tcPr>
            <w:tcW w:type="dxa" w:w="1224"/>
          </w:tcPr>
          <w:p>
            <w:pPr>
              <w:spacing w:after="80" w:before="60" w:line="245" w:lineRule="auto"/>
              <w:jc w:val="left"/>
            </w:pPr>
            <w:r>
              <w:rPr>
                <w:rFonts w:ascii="Times New Roman" w:hAnsi="Times New Roman"/>
                <w:b w:val="0"/>
                <w:sz w:val="19"/>
              </w:rPr>
              <w:t>OE4</w:t>
              <w:br/>
              <w:t>D</w:t>
            </w:r>
          </w:p>
        </w:tc>
        <w:tc>
          <w:tcPr>
            <w:tcW w:type="dxa" w:w="4147"/>
          </w:tcPr>
          <w:p>
            <w:pPr>
              <w:spacing w:after="80" w:before="60" w:line="245" w:lineRule="auto"/>
              <w:jc w:val="left"/>
            </w:pPr>
            <w:r>
              <w:rPr>
                <w:rFonts w:ascii="Times New Roman" w:hAnsi="Times New Roman"/>
                <w:b w:val="0"/>
                <w:sz w:val="19"/>
              </w:rPr>
              <w:t>caso, gestion_caso, acceso_confianza, recurso_apoyo y soporte</w:t>
            </w:r>
          </w:p>
        </w:tc>
      </w:tr>
      <w:tr>
        <w:trPr>
          <w:cantSplit/>
        </w:trPr>
        <w:tc>
          <w:tcPr>
            <w:tcW w:type="dxa" w:w="2952"/>
          </w:tcPr>
          <w:p>
            <w:pPr>
              <w:spacing w:after="80" w:before="60" w:line="245" w:lineRule="auto"/>
              <w:jc w:val="left"/>
            </w:pPr>
            <w:r>
              <w:rPr>
                <w:rFonts w:ascii="Times New Roman" w:hAnsi="Times New Roman"/>
                <w:b w:val="0"/>
                <w:sz w:val="19"/>
              </w:rPr>
              <w:t>CU07 Autorizar contacto de confianza</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OE4</w:t>
              <w:br/>
              <w:t>D</w:t>
            </w:r>
          </w:p>
        </w:tc>
        <w:tc>
          <w:tcPr>
            <w:tcW w:type="dxa" w:w="4147"/>
          </w:tcPr>
          <w:p>
            <w:pPr>
              <w:spacing w:after="80" w:before="60" w:line="245" w:lineRule="auto"/>
              <w:jc w:val="left"/>
            </w:pPr>
            <w:r>
              <w:rPr>
                <w:rFonts w:ascii="Times New Roman" w:hAnsi="Times New Roman"/>
                <w:b w:val="0"/>
                <w:sz w:val="19"/>
              </w:rPr>
              <w:t>acceso_confianza, usuario, caso</w:t>
            </w:r>
          </w:p>
        </w:tc>
      </w:tr>
      <w:tr>
        <w:trPr>
          <w:cantSplit/>
        </w:trPr>
        <w:tc>
          <w:tcPr>
            <w:tcW w:type="dxa" w:w="2952"/>
          </w:tcPr>
          <w:p>
            <w:pPr>
              <w:spacing w:after="80" w:before="60" w:line="245" w:lineRule="auto"/>
              <w:jc w:val="left"/>
            </w:pPr>
            <w:r>
              <w:rPr>
                <w:rFonts w:ascii="Times New Roman" w:hAnsi="Times New Roman"/>
                <w:b w:val="0"/>
                <w:sz w:val="19"/>
              </w:rPr>
              <w:t>CU08 Consultar antecedentes territoriales</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OE1</w:t>
              <w:br/>
              <w:t>D</w:t>
            </w:r>
          </w:p>
        </w:tc>
        <w:tc>
          <w:tcPr>
            <w:tcW w:type="dxa" w:w="4147"/>
          </w:tcPr>
          <w:p>
            <w:pPr>
              <w:spacing w:after="80" w:before="60" w:line="245" w:lineRule="auto"/>
              <w:jc w:val="left"/>
            </w:pPr>
            <w:r>
              <w:rPr>
                <w:rFonts w:ascii="Times New Roman" w:hAnsi="Times New Roman"/>
                <w:b w:val="0"/>
                <w:sz w:val="19"/>
              </w:rPr>
              <w:t>hecho_territorial, fuente_datos, lote_importacion, registro_fuente</w:t>
            </w:r>
          </w:p>
        </w:tc>
      </w:tr>
      <w:tr>
        <w:trPr>
          <w:cantSplit/>
        </w:trPr>
        <w:tc>
          <w:tcPr>
            <w:tcW w:type="dxa" w:w="2952"/>
          </w:tcPr>
          <w:p>
            <w:pPr>
              <w:spacing w:after="80" w:before="60" w:line="245" w:lineRule="auto"/>
              <w:jc w:val="left"/>
            </w:pPr>
            <w:r>
              <w:rPr>
                <w:rFonts w:ascii="Times New Roman" w:hAnsi="Times New Roman"/>
                <w:b w:val="0"/>
                <w:sz w:val="19"/>
              </w:rPr>
              <w:t>CU09 Comparar alternativas de ruta</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OE1</w:t>
              <w:br/>
              <w:t>D</w:t>
            </w:r>
          </w:p>
        </w:tc>
        <w:tc>
          <w:tcPr>
            <w:tcW w:type="dxa" w:w="4147"/>
          </w:tcPr>
          <w:p>
            <w:pPr>
              <w:spacing w:after="80" w:before="60" w:line="245" w:lineRule="auto"/>
              <w:jc w:val="left"/>
            </w:pPr>
            <w:r>
              <w:rPr>
                <w:rFonts w:ascii="Times New Roman" w:hAnsi="Times New Roman"/>
                <w:b w:val="0"/>
                <w:sz w:val="19"/>
              </w:rPr>
              <w:t>consulta_ruta, alternativa_ruta, hecho_territorial</w:t>
            </w:r>
          </w:p>
        </w:tc>
      </w:tr>
      <w:tr>
        <w:trPr>
          <w:cantSplit/>
        </w:trPr>
        <w:tc>
          <w:tcPr>
            <w:tcW w:type="dxa" w:w="2952"/>
          </w:tcPr>
          <w:p>
            <w:pPr>
              <w:spacing w:after="80" w:before="60" w:line="245" w:lineRule="auto"/>
              <w:jc w:val="left"/>
            </w:pPr>
            <w:r>
              <w:rPr>
                <w:rFonts w:ascii="Times New Roman" w:hAnsi="Times New Roman"/>
                <w:b w:val="0"/>
                <w:sz w:val="19"/>
              </w:rPr>
              <w:t>CU10 Iniciar trayecto con avisos</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OE1</w:t>
              <w:br/>
              <w:t>D</w:t>
            </w:r>
          </w:p>
        </w:tc>
        <w:tc>
          <w:tcPr>
            <w:tcW w:type="dxa" w:w="4147"/>
          </w:tcPr>
          <w:p>
            <w:pPr>
              <w:spacing w:after="80" w:before="60" w:line="245" w:lineRule="auto"/>
              <w:jc w:val="left"/>
            </w:pPr>
            <w:r>
              <w:rPr>
                <w:rFonts w:ascii="Times New Roman" w:hAnsi="Times New Roman"/>
                <w:b w:val="0"/>
                <w:sz w:val="19"/>
              </w:rPr>
              <w:t>trayecto, alternativa_ruta, consulta_ruta, preferencia y soporte</w:t>
            </w:r>
          </w:p>
        </w:tc>
      </w:tr>
      <w:tr>
        <w:trPr>
          <w:cantSplit/>
        </w:trPr>
        <w:tc>
          <w:tcPr>
            <w:tcW w:type="dxa" w:w="2952"/>
          </w:tcPr>
          <w:p>
            <w:pPr>
              <w:spacing w:after="80" w:before="60" w:line="245" w:lineRule="auto"/>
              <w:jc w:val="left"/>
            </w:pPr>
            <w:r>
              <w:rPr>
                <w:rFonts w:ascii="Times New Roman" w:hAnsi="Times New Roman"/>
                <w:b w:val="0"/>
                <w:sz w:val="19"/>
              </w:rPr>
              <w:t>CU11 Consultar solicitudes ciudadanas</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OE3</w:t>
              <w:br/>
              <w:t>D</w:t>
            </w:r>
          </w:p>
        </w:tc>
        <w:tc>
          <w:tcPr>
            <w:tcW w:type="dxa" w:w="4147"/>
          </w:tcPr>
          <w:p>
            <w:pPr>
              <w:spacing w:after="80" w:before="60" w:line="245" w:lineRule="auto"/>
              <w:jc w:val="left"/>
            </w:pPr>
            <w:r>
              <w:rPr>
                <w:rFonts w:ascii="Times New Roman" w:hAnsi="Times New Roman"/>
                <w:b w:val="0"/>
                <w:sz w:val="19"/>
              </w:rPr>
              <w:t>solicitud_colaboracion, vehiculo, modelo, marca</w:t>
            </w:r>
          </w:p>
        </w:tc>
      </w:tr>
    </w:tbl>
    <w:p>
      <w:r>
        <w:br w:type="page"/>
      </w:r>
    </w:p>
    <w:p>
      <w:pPr>
        <w:pStyle w:val="Heading1"/>
      </w:pPr>
      <w:r>
        <w:t>5 Trazabilidad de casos de uso y objetivos</w:t>
      </w:r>
    </w:p>
    <w:p>
      <w:r>
        <w:t>Cada fila vincula la acción del actor con resultados del proyecto y sus datos principales. D significa contribución directa; H, habilitante. La matriz CSV incluye todas las entidades de soporte de cada caso.</w:t>
      </w:r>
    </w:p>
    <w:tbl>
      <w:tblPr>
        <w:tblStyle w:val="TableGrid"/>
        <w:tblW w:type="auto" w:w="0"/>
        <w:tblLayout w:type="fixed"/>
        <w:tblLook w:firstColumn="1" w:firstRow="1" w:lastColumn="0" w:lastRow="0" w:noHBand="0" w:noVBand="1" w:val="04A0"/>
      </w:tblPr>
      <w:tblGrid>
        <w:gridCol w:w="2952"/>
        <w:gridCol w:w="1469"/>
        <w:gridCol w:w="1224"/>
        <w:gridCol w:w="4147"/>
      </w:tblGrid>
      <w:tr>
        <w:trPr>
          <w:tblHeader/>
          <w:cantSplit/>
        </w:trPr>
        <w:tc>
          <w:tcPr>
            <w:tcW w:type="dxa" w:w="2952"/>
          </w:tcPr>
          <w:p>
            <w:pPr>
              <w:spacing w:after="80" w:before="60" w:line="245" w:lineRule="auto"/>
              <w:jc w:val="left"/>
            </w:pPr>
            <w:r>
              <w:rPr>
                <w:rFonts w:ascii="Times New Roman" w:hAnsi="Times New Roman"/>
                <w:b/>
                <w:sz w:val="19"/>
              </w:rPr>
              <w:t>Caso de uso</w:t>
            </w:r>
          </w:p>
        </w:tc>
        <w:tc>
          <w:tcPr>
            <w:tcW w:type="dxa" w:w="1469"/>
          </w:tcPr>
          <w:p>
            <w:pPr>
              <w:spacing w:after="80" w:before="60" w:line="245" w:lineRule="auto"/>
              <w:jc w:val="left"/>
            </w:pPr>
            <w:r>
              <w:rPr>
                <w:rFonts w:ascii="Times New Roman" w:hAnsi="Times New Roman"/>
                <w:b/>
                <w:sz w:val="19"/>
              </w:rPr>
              <w:t>Actor</w:t>
            </w:r>
          </w:p>
        </w:tc>
        <w:tc>
          <w:tcPr>
            <w:tcW w:type="dxa" w:w="1224"/>
          </w:tcPr>
          <w:p>
            <w:pPr>
              <w:spacing w:after="80" w:before="60" w:line="245" w:lineRule="auto"/>
              <w:jc w:val="left"/>
            </w:pPr>
            <w:r>
              <w:rPr>
                <w:rFonts w:ascii="Times New Roman" w:hAnsi="Times New Roman"/>
                <w:b/>
                <w:sz w:val="19"/>
              </w:rPr>
              <w:t>Objetivos</w:t>
            </w:r>
          </w:p>
        </w:tc>
        <w:tc>
          <w:tcPr>
            <w:tcW w:type="dxa" w:w="4147"/>
          </w:tcPr>
          <w:p>
            <w:pPr>
              <w:spacing w:after="80" w:before="60" w:line="245" w:lineRule="auto"/>
              <w:jc w:val="left"/>
            </w:pPr>
            <w:r>
              <w:rPr>
                <w:rFonts w:ascii="Times New Roman" w:hAnsi="Times New Roman"/>
                <w:b/>
                <w:sz w:val="19"/>
              </w:rPr>
              <w:t>Datos principales</w:t>
            </w:r>
          </w:p>
        </w:tc>
      </w:tr>
      <w:tr>
        <w:trPr>
          <w:cantSplit/>
        </w:trPr>
        <w:tc>
          <w:tcPr>
            <w:tcW w:type="dxa" w:w="2952"/>
          </w:tcPr>
          <w:p>
            <w:pPr>
              <w:spacing w:after="80" w:before="60" w:line="245" w:lineRule="auto"/>
              <w:jc w:val="left"/>
            </w:pPr>
            <w:r>
              <w:rPr>
                <w:rFonts w:ascii="Times New Roman" w:hAnsi="Times New Roman"/>
                <w:b w:val="0"/>
                <w:sz w:val="19"/>
              </w:rPr>
              <w:t>CU12 Configurar avisos y privacidad</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OE1, OE4</w:t>
              <w:br/>
              <w:t>H</w:t>
            </w:r>
          </w:p>
        </w:tc>
        <w:tc>
          <w:tcPr>
            <w:tcW w:type="dxa" w:w="4147"/>
          </w:tcPr>
          <w:p>
            <w:pPr>
              <w:spacing w:after="80" w:before="60" w:line="245" w:lineRule="auto"/>
              <w:jc w:val="left"/>
            </w:pPr>
            <w:r>
              <w:rPr>
                <w:rFonts w:ascii="Times New Roman" w:hAnsi="Times New Roman"/>
                <w:b w:val="0"/>
                <w:sz w:val="19"/>
              </w:rPr>
              <w:t>preferencia, consentimiento, dispositivo</w:t>
            </w:r>
          </w:p>
        </w:tc>
      </w:tr>
      <w:tr>
        <w:trPr>
          <w:cantSplit/>
        </w:trPr>
        <w:tc>
          <w:tcPr>
            <w:tcW w:type="dxa" w:w="2952"/>
          </w:tcPr>
          <w:p>
            <w:pPr>
              <w:spacing w:after="80" w:before="60" w:line="245" w:lineRule="auto"/>
              <w:jc w:val="left"/>
            </w:pPr>
            <w:r>
              <w:rPr>
                <w:rFonts w:ascii="Times New Roman" w:hAnsi="Times New Roman"/>
                <w:b w:val="0"/>
                <w:sz w:val="19"/>
              </w:rPr>
              <w:t>CU13 Consultar casos y alertas</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OE2</w:t>
              <w:br/>
              <w:t>D</w:t>
            </w:r>
          </w:p>
        </w:tc>
        <w:tc>
          <w:tcPr>
            <w:tcW w:type="dxa" w:w="4147"/>
          </w:tcPr>
          <w:p>
            <w:pPr>
              <w:spacing w:after="80" w:before="60" w:line="245" w:lineRule="auto"/>
              <w:jc w:val="left"/>
            </w:pPr>
            <w:r>
              <w:rPr>
                <w:rFonts w:ascii="Times New Roman" w:hAnsi="Times New Roman"/>
                <w:b w:val="0"/>
                <w:sz w:val="19"/>
              </w:rPr>
              <w:t>caso, asignacion_caso, gestion_caso, avistamiento y soporte</w:t>
            </w:r>
          </w:p>
        </w:tc>
      </w:tr>
      <w:tr>
        <w:trPr>
          <w:cantSplit/>
        </w:trPr>
        <w:tc>
          <w:tcPr>
            <w:tcW w:type="dxa" w:w="2952"/>
          </w:tcPr>
          <w:p>
            <w:pPr>
              <w:spacing w:after="80" w:before="60" w:line="245" w:lineRule="auto"/>
              <w:jc w:val="left"/>
            </w:pPr>
            <w:r>
              <w:rPr>
                <w:rFonts w:ascii="Times New Roman" w:hAnsi="Times New Roman"/>
                <w:b w:val="0"/>
                <w:sz w:val="19"/>
              </w:rPr>
              <w:t>CU14 Revisar aportes y duplicados</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OE2, OE3</w:t>
              <w:br/>
              <w:t>D</w:t>
            </w:r>
          </w:p>
        </w:tc>
        <w:tc>
          <w:tcPr>
            <w:tcW w:type="dxa" w:w="4147"/>
          </w:tcPr>
          <w:p>
            <w:pPr>
              <w:spacing w:after="80" w:before="60" w:line="245" w:lineRule="auto"/>
              <w:jc w:val="left"/>
            </w:pPr>
            <w:r>
              <w:rPr>
                <w:rFonts w:ascii="Times New Roman" w:hAnsi="Times New Roman"/>
                <w:b w:val="0"/>
                <w:sz w:val="19"/>
              </w:rPr>
              <w:t>avistamiento, revision_avistamiento, evidencia, caso y soporte</w:t>
            </w:r>
          </w:p>
        </w:tc>
      </w:tr>
      <w:tr>
        <w:trPr>
          <w:cantSplit/>
        </w:trPr>
        <w:tc>
          <w:tcPr>
            <w:tcW w:type="dxa" w:w="2952"/>
          </w:tcPr>
          <w:p>
            <w:pPr>
              <w:spacing w:after="80" w:before="60" w:line="245" w:lineRule="auto"/>
              <w:jc w:val="left"/>
            </w:pPr>
            <w:r>
              <w:rPr>
                <w:rFonts w:ascii="Times New Roman" w:hAnsi="Times New Roman"/>
                <w:b w:val="0"/>
                <w:sz w:val="19"/>
              </w:rPr>
              <w:t>CU15 Asignar caso</w:t>
            </w:r>
          </w:p>
        </w:tc>
        <w:tc>
          <w:tcPr>
            <w:tcW w:type="dxa" w:w="1469"/>
          </w:tcPr>
          <w:p>
            <w:pPr>
              <w:spacing w:after="80" w:before="60" w:line="245" w:lineRule="auto"/>
              <w:jc w:val="left"/>
            </w:pPr>
            <w:r>
              <w:rPr>
                <w:rFonts w:ascii="Times New Roman" w:hAnsi="Times New Roman"/>
                <w:b w:val="0"/>
                <w:sz w:val="19"/>
              </w:rPr>
              <w:t>Supervisor</w:t>
            </w:r>
          </w:p>
        </w:tc>
        <w:tc>
          <w:tcPr>
            <w:tcW w:type="dxa" w:w="1224"/>
          </w:tcPr>
          <w:p>
            <w:pPr>
              <w:spacing w:after="80" w:before="60" w:line="245" w:lineRule="auto"/>
              <w:jc w:val="left"/>
            </w:pPr>
            <w:r>
              <w:rPr>
                <w:rFonts w:ascii="Times New Roman" w:hAnsi="Times New Roman"/>
                <w:b w:val="0"/>
                <w:sz w:val="19"/>
              </w:rPr>
              <w:t>OE2</w:t>
              <w:br/>
              <w:t>D</w:t>
            </w:r>
          </w:p>
        </w:tc>
        <w:tc>
          <w:tcPr>
            <w:tcW w:type="dxa" w:w="4147"/>
          </w:tcPr>
          <w:p>
            <w:pPr>
              <w:spacing w:after="80" w:before="60" w:line="245" w:lineRule="auto"/>
              <w:jc w:val="left"/>
            </w:pPr>
            <w:r>
              <w:rPr>
                <w:rFonts w:ascii="Times New Roman" w:hAnsi="Times New Roman"/>
                <w:b w:val="0"/>
                <w:sz w:val="19"/>
              </w:rPr>
              <w:t>asignacion_caso, membresia, caso, organizacion</w:t>
            </w:r>
          </w:p>
        </w:tc>
      </w:tr>
      <w:tr>
        <w:trPr>
          <w:cantSplit/>
        </w:trPr>
        <w:tc>
          <w:tcPr>
            <w:tcW w:type="dxa" w:w="2952"/>
          </w:tcPr>
          <w:p>
            <w:pPr>
              <w:spacing w:after="80" w:before="60" w:line="245" w:lineRule="auto"/>
              <w:jc w:val="left"/>
            </w:pPr>
            <w:r>
              <w:rPr>
                <w:rFonts w:ascii="Times New Roman" w:hAnsi="Times New Roman"/>
                <w:b w:val="0"/>
                <w:sz w:val="19"/>
              </w:rPr>
              <w:t>CU16 Registrar gestión y cierre</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OE2, OE4</w:t>
              <w:br/>
              <w:t>D</w:t>
            </w:r>
          </w:p>
        </w:tc>
        <w:tc>
          <w:tcPr>
            <w:tcW w:type="dxa" w:w="4147"/>
          </w:tcPr>
          <w:p>
            <w:pPr>
              <w:spacing w:after="80" w:before="60" w:line="245" w:lineRule="auto"/>
              <w:jc w:val="left"/>
            </w:pPr>
            <w:r>
              <w:rPr>
                <w:rFonts w:ascii="Times New Roman" w:hAnsi="Times New Roman"/>
                <w:b w:val="0"/>
                <w:sz w:val="19"/>
              </w:rPr>
              <w:t>gestion_caso, caso, derivacion_caso, canal_derivacion y soporte</w:t>
            </w:r>
          </w:p>
        </w:tc>
      </w:tr>
      <w:tr>
        <w:trPr>
          <w:cantSplit/>
        </w:trPr>
        <w:tc>
          <w:tcPr>
            <w:tcW w:type="dxa" w:w="2952"/>
          </w:tcPr>
          <w:p>
            <w:pPr>
              <w:spacing w:after="80" w:before="60" w:line="245" w:lineRule="auto"/>
              <w:jc w:val="left"/>
            </w:pPr>
            <w:r>
              <w:rPr>
                <w:rFonts w:ascii="Times New Roman" w:hAnsi="Times New Roman"/>
                <w:b w:val="0"/>
                <w:sz w:val="19"/>
              </w:rPr>
              <w:t>CU17 Publicar solicitud de colaboración</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OE3</w:t>
              <w:br/>
              <w:t>D</w:t>
            </w:r>
          </w:p>
        </w:tc>
        <w:tc>
          <w:tcPr>
            <w:tcW w:type="dxa" w:w="4147"/>
          </w:tcPr>
          <w:p>
            <w:pPr>
              <w:spacing w:after="80" w:before="60" w:line="245" w:lineRule="auto"/>
              <w:jc w:val="left"/>
            </w:pPr>
            <w:r>
              <w:rPr>
                <w:rFonts w:ascii="Times New Roman" w:hAnsi="Times New Roman"/>
                <w:b w:val="0"/>
                <w:sz w:val="19"/>
              </w:rPr>
              <w:t>solicitud_colaboracion, caso, vehiculo</w:t>
            </w:r>
          </w:p>
        </w:tc>
      </w:tr>
      <w:tr>
        <w:trPr>
          <w:cantSplit/>
        </w:trPr>
        <w:tc>
          <w:tcPr>
            <w:tcW w:type="dxa" w:w="2952"/>
          </w:tcPr>
          <w:p>
            <w:pPr>
              <w:spacing w:after="80" w:before="60" w:line="245" w:lineRule="auto"/>
              <w:jc w:val="left"/>
            </w:pPr>
            <w:r>
              <w:rPr>
                <w:rFonts w:ascii="Times New Roman" w:hAnsi="Times New Roman"/>
                <w:b w:val="0"/>
                <w:sz w:val="19"/>
              </w:rPr>
              <w:t>CU18 Consultar indicadores y exportar informe</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OE2, OE6</w:t>
              <w:br/>
              <w:t>D</w:t>
            </w:r>
          </w:p>
        </w:tc>
        <w:tc>
          <w:tcPr>
            <w:tcW w:type="dxa" w:w="4147"/>
          </w:tcPr>
          <w:p>
            <w:pPr>
              <w:spacing w:after="80" w:before="60" w:line="245" w:lineRule="auto"/>
              <w:jc w:val="left"/>
            </w:pPr>
            <w:r>
              <w:rPr>
                <w:rFonts w:ascii="Times New Roman" w:hAnsi="Times New Roman"/>
                <w:b w:val="0"/>
                <w:sz w:val="19"/>
              </w:rPr>
              <w:t>version_indicador, consulta_indicador, caso, vehiculo y soporte</w:t>
            </w:r>
          </w:p>
        </w:tc>
      </w:tr>
      <w:tr>
        <w:trPr>
          <w:cantSplit/>
        </w:trPr>
        <w:tc>
          <w:tcPr>
            <w:tcW w:type="dxa" w:w="2952"/>
          </w:tcPr>
          <w:p>
            <w:pPr>
              <w:spacing w:after="80" w:before="60" w:line="245" w:lineRule="auto"/>
              <w:jc w:val="left"/>
            </w:pPr>
            <w:r>
              <w:rPr>
                <w:rFonts w:ascii="Times New Roman" w:hAnsi="Times New Roman"/>
                <w:b w:val="0"/>
                <w:sz w:val="19"/>
              </w:rPr>
              <w:t>CU19 Administrar usuarios y permisos</w:t>
            </w:r>
          </w:p>
        </w:tc>
        <w:tc>
          <w:tcPr>
            <w:tcW w:type="dxa" w:w="1469"/>
          </w:tcPr>
          <w:p>
            <w:pPr>
              <w:spacing w:after="80" w:before="60" w:line="245" w:lineRule="auto"/>
              <w:jc w:val="left"/>
            </w:pPr>
            <w:r>
              <w:rPr>
                <w:rFonts w:ascii="Times New Roman" w:hAnsi="Times New Roman"/>
                <w:b w:val="0"/>
                <w:sz w:val="19"/>
              </w:rPr>
              <w:t>Administrador</w:t>
            </w:r>
          </w:p>
        </w:tc>
        <w:tc>
          <w:tcPr>
            <w:tcW w:type="dxa" w:w="1224"/>
          </w:tcPr>
          <w:p>
            <w:pPr>
              <w:spacing w:after="80" w:before="60" w:line="245" w:lineRule="auto"/>
              <w:jc w:val="left"/>
            </w:pPr>
            <w:r>
              <w:rPr>
                <w:rFonts w:ascii="Times New Roman" w:hAnsi="Times New Roman"/>
                <w:b w:val="0"/>
                <w:sz w:val="19"/>
              </w:rPr>
              <w:t>OE2, OE3, OE4</w:t>
              <w:br/>
              <w:t>H</w:t>
            </w:r>
          </w:p>
        </w:tc>
        <w:tc>
          <w:tcPr>
            <w:tcW w:type="dxa" w:w="4147"/>
          </w:tcPr>
          <w:p>
            <w:pPr>
              <w:spacing w:after="80" w:before="60" w:line="245" w:lineRule="auto"/>
              <w:jc w:val="left"/>
            </w:pPr>
            <w:r>
              <w:rPr>
                <w:rFonts w:ascii="Times New Roman" w:hAnsi="Times New Roman"/>
                <w:b w:val="0"/>
                <w:sz w:val="19"/>
              </w:rPr>
              <w:t>usuario, rol, usuario_rol, membresia y soporte</w:t>
            </w:r>
          </w:p>
        </w:tc>
      </w:tr>
      <w:tr>
        <w:trPr>
          <w:cantSplit/>
        </w:trPr>
        <w:tc>
          <w:tcPr>
            <w:tcW w:type="dxa" w:w="2952"/>
          </w:tcPr>
          <w:p>
            <w:pPr>
              <w:spacing w:after="80" w:before="60" w:line="245" w:lineRule="auto"/>
              <w:jc w:val="left"/>
            </w:pPr>
            <w:r>
              <w:rPr>
                <w:rFonts w:ascii="Times New Roman" w:hAnsi="Times New Roman"/>
                <w:b w:val="0"/>
                <w:sz w:val="19"/>
              </w:rPr>
              <w:t>CU20 Gestionar fuentes históricas</w:t>
            </w:r>
          </w:p>
        </w:tc>
        <w:tc>
          <w:tcPr>
            <w:tcW w:type="dxa" w:w="1469"/>
          </w:tcPr>
          <w:p>
            <w:pPr>
              <w:spacing w:after="80" w:before="60" w:line="245" w:lineRule="auto"/>
              <w:jc w:val="left"/>
            </w:pPr>
            <w:r>
              <w:rPr>
                <w:rFonts w:ascii="Times New Roman" w:hAnsi="Times New Roman"/>
                <w:b w:val="0"/>
                <w:sz w:val="19"/>
              </w:rPr>
              <w:t>Administrador</w:t>
            </w:r>
          </w:p>
        </w:tc>
        <w:tc>
          <w:tcPr>
            <w:tcW w:type="dxa" w:w="1224"/>
          </w:tcPr>
          <w:p>
            <w:pPr>
              <w:spacing w:after="80" w:before="60" w:line="245" w:lineRule="auto"/>
              <w:jc w:val="left"/>
            </w:pPr>
            <w:r>
              <w:rPr>
                <w:rFonts w:ascii="Times New Roman" w:hAnsi="Times New Roman"/>
                <w:b w:val="0"/>
                <w:sz w:val="19"/>
              </w:rPr>
              <w:t>OE1</w:t>
              <w:br/>
              <w:t>H</w:t>
            </w:r>
          </w:p>
        </w:tc>
        <w:tc>
          <w:tcPr>
            <w:tcW w:type="dxa" w:w="4147"/>
          </w:tcPr>
          <w:p>
            <w:pPr>
              <w:spacing w:after="80" w:before="60" w:line="245" w:lineRule="auto"/>
              <w:jc w:val="left"/>
            </w:pPr>
            <w:r>
              <w:rPr>
                <w:rFonts w:ascii="Times New Roman" w:hAnsi="Times New Roman"/>
                <w:b w:val="0"/>
                <w:sz w:val="19"/>
              </w:rPr>
              <w:t>fuente_datos, lote_importacion, registro_fuente</w:t>
            </w:r>
          </w:p>
        </w:tc>
      </w:tr>
      <w:tr>
        <w:trPr>
          <w:cantSplit/>
        </w:trPr>
        <w:tc>
          <w:tcPr>
            <w:tcW w:type="dxa" w:w="2952"/>
          </w:tcPr>
          <w:p>
            <w:pPr>
              <w:spacing w:after="80" w:before="60" w:line="245" w:lineRule="auto"/>
              <w:jc w:val="left"/>
            </w:pPr>
            <w:r>
              <w:rPr>
                <w:rFonts w:ascii="Times New Roman" w:hAnsi="Times New Roman"/>
                <w:b w:val="0"/>
                <w:sz w:val="19"/>
              </w:rPr>
              <w:t>CU21 Revisar datos territoriales</w:t>
            </w:r>
          </w:p>
        </w:tc>
        <w:tc>
          <w:tcPr>
            <w:tcW w:type="dxa" w:w="1469"/>
          </w:tcPr>
          <w:p>
            <w:pPr>
              <w:spacing w:after="80" w:before="60" w:line="245" w:lineRule="auto"/>
              <w:jc w:val="left"/>
            </w:pPr>
            <w:r>
              <w:rPr>
                <w:rFonts w:ascii="Times New Roman" w:hAnsi="Times New Roman"/>
                <w:b w:val="0"/>
                <w:sz w:val="19"/>
              </w:rPr>
              <w:t>Administrador</w:t>
            </w:r>
          </w:p>
        </w:tc>
        <w:tc>
          <w:tcPr>
            <w:tcW w:type="dxa" w:w="1224"/>
          </w:tcPr>
          <w:p>
            <w:pPr>
              <w:spacing w:after="80" w:before="60" w:line="245" w:lineRule="auto"/>
              <w:jc w:val="left"/>
            </w:pPr>
            <w:r>
              <w:rPr>
                <w:rFonts w:ascii="Times New Roman" w:hAnsi="Times New Roman"/>
                <w:b w:val="0"/>
                <w:sz w:val="19"/>
              </w:rPr>
              <w:t>OE1, OE3</w:t>
              <w:br/>
              <w:t>H</w:t>
            </w:r>
          </w:p>
        </w:tc>
        <w:tc>
          <w:tcPr>
            <w:tcW w:type="dxa" w:w="4147"/>
          </w:tcPr>
          <w:p>
            <w:pPr>
              <w:spacing w:after="80" w:before="60" w:line="245" w:lineRule="auto"/>
              <w:jc w:val="left"/>
            </w:pPr>
            <w:r>
              <w:rPr>
                <w:rFonts w:ascii="Times New Roman" w:hAnsi="Times New Roman"/>
                <w:b w:val="0"/>
                <w:sz w:val="19"/>
              </w:rPr>
              <w:t>registro_fuente, hecho_territorial, caso</w:t>
            </w:r>
          </w:p>
        </w:tc>
      </w:tr>
      <w:tr>
        <w:trPr>
          <w:cantSplit/>
        </w:trPr>
        <w:tc>
          <w:tcPr>
            <w:tcW w:type="dxa" w:w="2952"/>
          </w:tcPr>
          <w:p>
            <w:pPr>
              <w:spacing w:after="80" w:before="60" w:line="245" w:lineRule="auto"/>
              <w:jc w:val="left"/>
            </w:pPr>
            <w:r>
              <w:rPr>
                <w:rFonts w:ascii="Times New Roman" w:hAnsi="Times New Roman"/>
                <w:b w:val="0"/>
                <w:sz w:val="19"/>
              </w:rPr>
              <w:t>CU22 Mantener recursos de apoyo</w:t>
            </w:r>
          </w:p>
        </w:tc>
        <w:tc>
          <w:tcPr>
            <w:tcW w:type="dxa" w:w="1469"/>
          </w:tcPr>
          <w:p>
            <w:pPr>
              <w:spacing w:after="80" w:before="60" w:line="245" w:lineRule="auto"/>
              <w:jc w:val="left"/>
            </w:pPr>
            <w:r>
              <w:rPr>
                <w:rFonts w:ascii="Times New Roman" w:hAnsi="Times New Roman"/>
                <w:b w:val="0"/>
                <w:sz w:val="19"/>
              </w:rPr>
              <w:t>Administrador</w:t>
            </w:r>
          </w:p>
        </w:tc>
        <w:tc>
          <w:tcPr>
            <w:tcW w:type="dxa" w:w="1224"/>
          </w:tcPr>
          <w:p>
            <w:pPr>
              <w:spacing w:after="80" w:before="60" w:line="245" w:lineRule="auto"/>
              <w:jc w:val="left"/>
            </w:pPr>
            <w:r>
              <w:rPr>
                <w:rFonts w:ascii="Times New Roman" w:hAnsi="Times New Roman"/>
                <w:b w:val="0"/>
                <w:sz w:val="19"/>
              </w:rPr>
              <w:t>OE4</w:t>
              <w:br/>
              <w:t>H</w:t>
            </w:r>
          </w:p>
        </w:tc>
        <w:tc>
          <w:tcPr>
            <w:tcW w:type="dxa" w:w="4147"/>
          </w:tcPr>
          <w:p>
            <w:pPr>
              <w:spacing w:after="80" w:before="60" w:line="245" w:lineRule="auto"/>
              <w:jc w:val="left"/>
            </w:pPr>
            <w:r>
              <w:rPr>
                <w:rFonts w:ascii="Times New Roman" w:hAnsi="Times New Roman"/>
                <w:b w:val="0"/>
                <w:sz w:val="19"/>
              </w:rPr>
              <w:t>recurso_apoyo, usuario</w:t>
            </w:r>
          </w:p>
        </w:tc>
      </w:tr>
    </w:tbl>
    <w:p>
      <w:r>
        <w:br w:type="page"/>
      </w:r>
    </w:p>
    <w:p>
      <w:pPr>
        <w:pStyle w:val="Heading1"/>
      </w:pPr>
      <w:r>
        <w:t>5 Trazabilidad de casos de uso y objetivos</w:t>
      </w:r>
    </w:p>
    <w:p>
      <w:r>
        <w:t>Cada fila vincula la acción del actor con resultados del proyecto y sus datos principales. D significa contribución directa; H, habilitante. La matriz CSV incluye todas las entidades de soporte de cada caso.</w:t>
      </w:r>
    </w:p>
    <w:tbl>
      <w:tblPr>
        <w:tblStyle w:val="TableGrid"/>
        <w:tblW w:type="auto" w:w="0"/>
        <w:tblLayout w:type="fixed"/>
        <w:tblLook w:firstColumn="1" w:firstRow="1" w:lastColumn="0" w:lastRow="0" w:noHBand="0" w:noVBand="1" w:val="04A0"/>
      </w:tblPr>
      <w:tblGrid>
        <w:gridCol w:w="2952"/>
        <w:gridCol w:w="1469"/>
        <w:gridCol w:w="1224"/>
        <w:gridCol w:w="4147"/>
      </w:tblGrid>
      <w:tr>
        <w:trPr>
          <w:tblHeader/>
          <w:cantSplit/>
        </w:trPr>
        <w:tc>
          <w:tcPr>
            <w:tcW w:type="dxa" w:w="2952"/>
          </w:tcPr>
          <w:p>
            <w:pPr>
              <w:spacing w:after="80" w:before="60" w:line="245" w:lineRule="auto"/>
              <w:jc w:val="left"/>
            </w:pPr>
            <w:r>
              <w:rPr>
                <w:rFonts w:ascii="Times New Roman" w:hAnsi="Times New Roman"/>
                <w:b/>
                <w:sz w:val="19"/>
              </w:rPr>
              <w:t>Caso de uso</w:t>
            </w:r>
          </w:p>
        </w:tc>
        <w:tc>
          <w:tcPr>
            <w:tcW w:type="dxa" w:w="1469"/>
          </w:tcPr>
          <w:p>
            <w:pPr>
              <w:spacing w:after="80" w:before="60" w:line="245" w:lineRule="auto"/>
              <w:jc w:val="left"/>
            </w:pPr>
            <w:r>
              <w:rPr>
                <w:rFonts w:ascii="Times New Roman" w:hAnsi="Times New Roman"/>
                <w:b/>
                <w:sz w:val="19"/>
              </w:rPr>
              <w:t>Actor</w:t>
            </w:r>
          </w:p>
        </w:tc>
        <w:tc>
          <w:tcPr>
            <w:tcW w:type="dxa" w:w="1224"/>
          </w:tcPr>
          <w:p>
            <w:pPr>
              <w:spacing w:after="80" w:before="60" w:line="245" w:lineRule="auto"/>
              <w:jc w:val="left"/>
            </w:pPr>
            <w:r>
              <w:rPr>
                <w:rFonts w:ascii="Times New Roman" w:hAnsi="Times New Roman"/>
                <w:b/>
                <w:sz w:val="19"/>
              </w:rPr>
              <w:t>Objetivos</w:t>
            </w:r>
          </w:p>
        </w:tc>
        <w:tc>
          <w:tcPr>
            <w:tcW w:type="dxa" w:w="4147"/>
          </w:tcPr>
          <w:p>
            <w:pPr>
              <w:spacing w:after="80" w:before="60" w:line="245" w:lineRule="auto"/>
              <w:jc w:val="left"/>
            </w:pPr>
            <w:r>
              <w:rPr>
                <w:rFonts w:ascii="Times New Roman" w:hAnsi="Times New Roman"/>
                <w:b/>
                <w:sz w:val="19"/>
              </w:rPr>
              <w:t>Datos principales</w:t>
            </w:r>
          </w:p>
        </w:tc>
      </w:tr>
      <w:tr>
        <w:trPr>
          <w:cantSplit/>
        </w:trPr>
        <w:tc>
          <w:tcPr>
            <w:tcW w:type="dxa" w:w="2952"/>
          </w:tcPr>
          <w:p>
            <w:pPr>
              <w:spacing w:after="80" w:before="60" w:line="245" w:lineRule="auto"/>
              <w:jc w:val="left"/>
            </w:pPr>
            <w:r>
              <w:rPr>
                <w:rFonts w:ascii="Times New Roman" w:hAnsi="Times New Roman"/>
                <w:b w:val="0"/>
                <w:sz w:val="19"/>
              </w:rPr>
              <w:t>CU23 Consultar auditoría</w:t>
            </w:r>
          </w:p>
        </w:tc>
        <w:tc>
          <w:tcPr>
            <w:tcW w:type="dxa" w:w="1469"/>
          </w:tcPr>
          <w:p>
            <w:pPr>
              <w:spacing w:after="80" w:before="60" w:line="245" w:lineRule="auto"/>
              <w:jc w:val="left"/>
            </w:pPr>
            <w:r>
              <w:rPr>
                <w:rFonts w:ascii="Times New Roman" w:hAnsi="Times New Roman"/>
                <w:b w:val="0"/>
                <w:sz w:val="19"/>
              </w:rPr>
              <w:t>Administrador</w:t>
            </w:r>
          </w:p>
        </w:tc>
        <w:tc>
          <w:tcPr>
            <w:tcW w:type="dxa" w:w="1224"/>
          </w:tcPr>
          <w:p>
            <w:pPr>
              <w:spacing w:after="80" w:before="60" w:line="245" w:lineRule="auto"/>
              <w:jc w:val="left"/>
            </w:pPr>
            <w:r>
              <w:rPr>
                <w:rFonts w:ascii="Times New Roman" w:hAnsi="Times New Roman"/>
                <w:b w:val="0"/>
                <w:sz w:val="19"/>
              </w:rPr>
              <w:t>OE2, OE3, OE4</w:t>
              <w:br/>
              <w:t>H</w:t>
            </w:r>
          </w:p>
        </w:tc>
        <w:tc>
          <w:tcPr>
            <w:tcW w:type="dxa" w:w="4147"/>
          </w:tcPr>
          <w:p>
            <w:pPr>
              <w:spacing w:after="80" w:before="60" w:line="245" w:lineRule="auto"/>
              <w:jc w:val="left"/>
            </w:pPr>
            <w:r>
              <w:rPr>
                <w:rFonts w:ascii="Times New Roman" w:hAnsi="Times New Roman"/>
                <w:b w:val="0"/>
                <w:sz w:val="19"/>
              </w:rPr>
              <w:t>evento_auditoria, consulta_video, revision_avistamiento, revision_recomendacion</w:t>
            </w:r>
          </w:p>
        </w:tc>
      </w:tr>
      <w:tr>
        <w:trPr>
          <w:cantSplit/>
        </w:trPr>
        <w:tc>
          <w:tcPr>
            <w:tcW w:type="dxa" w:w="2952"/>
          </w:tcPr>
          <w:p>
            <w:pPr>
              <w:spacing w:after="80" w:before="60" w:line="245" w:lineRule="auto"/>
              <w:jc w:val="left"/>
            </w:pPr>
            <w:r>
              <w:rPr>
                <w:rFonts w:ascii="Times New Roman" w:hAnsi="Times New Roman"/>
                <w:b w:val="0"/>
                <w:sz w:val="19"/>
              </w:rPr>
              <w:t>CU24 Ejecutar escenarios de evaluación</w:t>
            </w:r>
          </w:p>
        </w:tc>
        <w:tc>
          <w:tcPr>
            <w:tcW w:type="dxa" w:w="1469"/>
          </w:tcPr>
          <w:p>
            <w:pPr>
              <w:spacing w:after="80" w:before="60" w:line="245" w:lineRule="auto"/>
              <w:jc w:val="left"/>
            </w:pPr>
            <w:r>
              <w:rPr>
                <w:rFonts w:ascii="Times New Roman" w:hAnsi="Times New Roman"/>
                <w:b w:val="0"/>
                <w:sz w:val="19"/>
              </w:rPr>
              <w:t>Evaluador</w:t>
            </w:r>
          </w:p>
        </w:tc>
        <w:tc>
          <w:tcPr>
            <w:tcW w:type="dxa" w:w="1224"/>
          </w:tcPr>
          <w:p>
            <w:pPr>
              <w:spacing w:after="80" w:before="60" w:line="245" w:lineRule="auto"/>
              <w:jc w:val="left"/>
            </w:pPr>
            <w:r>
              <w:rPr>
                <w:rFonts w:ascii="Times New Roman" w:hAnsi="Times New Roman"/>
                <w:b w:val="0"/>
                <w:sz w:val="19"/>
              </w:rPr>
              <w:t>OE1, OE2, OE3, OE4, OE5, OE6</w:t>
              <w:br/>
              <w:t>H</w:t>
            </w:r>
          </w:p>
        </w:tc>
        <w:tc>
          <w:tcPr>
            <w:tcW w:type="dxa" w:w="4147"/>
          </w:tcPr>
          <w:p>
            <w:pPr>
              <w:spacing w:after="80" w:before="60" w:line="245" w:lineRule="auto"/>
              <w:jc w:val="left"/>
            </w:pPr>
            <w:r>
              <w:rPr>
                <w:rFonts w:ascii="Times New Roman" w:hAnsi="Times New Roman"/>
                <w:b w:val="0"/>
                <w:sz w:val="19"/>
              </w:rPr>
              <w:t>escenario_prueba, ejecucion_prueba, medicion</w:t>
            </w:r>
          </w:p>
        </w:tc>
      </w:tr>
      <w:tr>
        <w:trPr>
          <w:cantSplit/>
        </w:trPr>
        <w:tc>
          <w:tcPr>
            <w:tcW w:type="dxa" w:w="2952"/>
          </w:tcPr>
          <w:p>
            <w:pPr>
              <w:spacing w:after="80" w:before="60" w:line="245" w:lineRule="auto"/>
              <w:jc w:val="left"/>
            </w:pPr>
            <w:r>
              <w:rPr>
                <w:rFonts w:ascii="Times New Roman" w:hAnsi="Times New Roman"/>
                <w:b w:val="0"/>
                <w:sz w:val="19"/>
              </w:rPr>
              <w:t>CU25 Recibir aviso territorial</w:t>
            </w:r>
          </w:p>
        </w:tc>
        <w:tc>
          <w:tcPr>
            <w:tcW w:type="dxa" w:w="1469"/>
          </w:tcPr>
          <w:p>
            <w:pPr>
              <w:spacing w:after="80" w:before="60" w:line="245" w:lineRule="auto"/>
              <w:jc w:val="left"/>
            </w:pPr>
            <w:r>
              <w:rPr>
                <w:rFonts w:ascii="Times New Roman" w:hAnsi="Times New Roman"/>
                <w:b w:val="0"/>
                <w:sz w:val="19"/>
              </w:rPr>
              <w:t>Ciudadano</w:t>
            </w:r>
          </w:p>
        </w:tc>
        <w:tc>
          <w:tcPr>
            <w:tcW w:type="dxa" w:w="1224"/>
          </w:tcPr>
          <w:p>
            <w:pPr>
              <w:spacing w:after="80" w:before="60" w:line="245" w:lineRule="auto"/>
              <w:jc w:val="left"/>
            </w:pPr>
            <w:r>
              <w:rPr>
                <w:rFonts w:ascii="Times New Roman" w:hAnsi="Times New Roman"/>
                <w:b w:val="0"/>
                <w:sz w:val="19"/>
              </w:rPr>
              <w:t>OE1</w:t>
              <w:br/>
              <w:t>D</w:t>
            </w:r>
          </w:p>
        </w:tc>
        <w:tc>
          <w:tcPr>
            <w:tcW w:type="dxa" w:w="4147"/>
          </w:tcPr>
          <w:p>
            <w:pPr>
              <w:spacing w:after="80" w:before="60" w:line="245" w:lineRule="auto"/>
              <w:jc w:val="left"/>
            </w:pPr>
            <w:r>
              <w:rPr>
                <w:rFonts w:ascii="Times New Roman" w:hAnsi="Times New Roman"/>
                <w:b w:val="0"/>
                <w:sz w:val="19"/>
              </w:rPr>
              <w:t>aviso_territorial, trayecto, hecho_territorial, notificacion y soporte</w:t>
            </w:r>
          </w:p>
        </w:tc>
      </w:tr>
      <w:tr>
        <w:trPr>
          <w:cantSplit/>
        </w:trPr>
        <w:tc>
          <w:tcPr>
            <w:tcW w:type="dxa" w:w="2952"/>
          </w:tcPr>
          <w:p>
            <w:pPr>
              <w:spacing w:after="80" w:before="60" w:line="245" w:lineRule="auto"/>
              <w:jc w:val="left"/>
            </w:pPr>
            <w:r>
              <w:rPr>
                <w:rFonts w:ascii="Times New Roman" w:hAnsi="Times New Roman"/>
                <w:b w:val="0"/>
                <w:sz w:val="19"/>
              </w:rPr>
              <w:t>CU26 Administrar cámaras autorizadas</w:t>
            </w:r>
          </w:p>
        </w:tc>
        <w:tc>
          <w:tcPr>
            <w:tcW w:type="dxa" w:w="1469"/>
          </w:tcPr>
          <w:p>
            <w:pPr>
              <w:spacing w:after="80" w:before="60" w:line="245" w:lineRule="auto"/>
              <w:jc w:val="left"/>
            </w:pPr>
            <w:r>
              <w:rPr>
                <w:rFonts w:ascii="Times New Roman" w:hAnsi="Times New Roman"/>
                <w:b w:val="0"/>
                <w:sz w:val="19"/>
              </w:rPr>
              <w:t>Administrador</w:t>
            </w:r>
          </w:p>
        </w:tc>
        <w:tc>
          <w:tcPr>
            <w:tcW w:type="dxa" w:w="1224"/>
          </w:tcPr>
          <w:p>
            <w:pPr>
              <w:spacing w:after="80" w:before="60" w:line="245" w:lineRule="auto"/>
              <w:jc w:val="left"/>
            </w:pPr>
            <w:r>
              <w:rPr>
                <w:rFonts w:ascii="Times New Roman" w:hAnsi="Times New Roman"/>
                <w:b w:val="0"/>
                <w:sz w:val="19"/>
              </w:rPr>
              <w:t>OE5</w:t>
              <w:br/>
              <w:t>H</w:t>
            </w:r>
          </w:p>
        </w:tc>
        <w:tc>
          <w:tcPr>
            <w:tcW w:type="dxa" w:w="4147"/>
          </w:tcPr>
          <w:p>
            <w:pPr>
              <w:spacing w:after="80" w:before="60" w:line="245" w:lineRule="auto"/>
              <w:jc w:val="left"/>
            </w:pPr>
            <w:r>
              <w:rPr>
                <w:rFonts w:ascii="Times New Roman" w:hAnsi="Times New Roman"/>
                <w:b w:val="0"/>
                <w:sz w:val="19"/>
              </w:rPr>
              <w:t>camara, organizacion, evento_auditoria</w:t>
            </w:r>
          </w:p>
        </w:tc>
      </w:tr>
      <w:tr>
        <w:trPr>
          <w:cantSplit/>
        </w:trPr>
        <w:tc>
          <w:tcPr>
            <w:tcW w:type="dxa" w:w="2952"/>
          </w:tcPr>
          <w:p>
            <w:pPr>
              <w:spacing w:after="80" w:before="60" w:line="245" w:lineRule="auto"/>
              <w:jc w:val="left"/>
            </w:pPr>
            <w:r>
              <w:rPr>
                <w:rFonts w:ascii="Times New Roman" w:hAnsi="Times New Roman"/>
                <w:b w:val="0"/>
                <w:sz w:val="19"/>
              </w:rPr>
              <w:t>CU27 Consultar video autorizado</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OE2, OE5</w:t>
              <w:br/>
              <w:t>D</w:t>
            </w:r>
          </w:p>
        </w:tc>
        <w:tc>
          <w:tcPr>
            <w:tcW w:type="dxa" w:w="4147"/>
          </w:tcPr>
          <w:p>
            <w:pPr>
              <w:spacing w:after="80" w:before="60" w:line="245" w:lineRule="auto"/>
              <w:jc w:val="left"/>
            </w:pPr>
            <w:r>
              <w:rPr>
                <w:rFonts w:ascii="Times New Roman" w:hAnsi="Times New Roman"/>
                <w:b w:val="0"/>
                <w:sz w:val="19"/>
              </w:rPr>
              <w:t>consulta_video, camara, caso, evidencia</w:t>
            </w:r>
          </w:p>
        </w:tc>
      </w:tr>
      <w:tr>
        <w:trPr>
          <w:cantSplit/>
        </w:trPr>
        <w:tc>
          <w:tcPr>
            <w:tcW w:type="dxa" w:w="2952"/>
          </w:tcPr>
          <w:p>
            <w:pPr>
              <w:spacing w:after="80" w:before="60" w:line="245" w:lineRule="auto"/>
              <w:jc w:val="left"/>
            </w:pPr>
            <w:r>
              <w:rPr>
                <w:rFonts w:ascii="Times New Roman" w:hAnsi="Times New Roman"/>
                <w:b w:val="0"/>
                <w:sz w:val="19"/>
              </w:rPr>
              <w:t>CU28 Explorar recorridos posibles</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OE5</w:t>
              <w:br/>
              <w:t>D</w:t>
            </w:r>
          </w:p>
        </w:tc>
        <w:tc>
          <w:tcPr>
            <w:tcW w:type="dxa" w:w="4147"/>
          </w:tcPr>
          <w:p>
            <w:pPr>
              <w:spacing w:after="80" w:before="60" w:line="245" w:lineRule="auto"/>
              <w:jc w:val="left"/>
            </w:pPr>
            <w:r>
              <w:rPr>
                <w:rFonts w:ascii="Times New Roman" w:hAnsi="Times New Roman"/>
                <w:b w:val="0"/>
                <w:sz w:val="19"/>
              </w:rPr>
              <w:t>sesion_busqueda, observacion_busqueda, hipotesis_ruta, recomendacion_camara y soporte</w:t>
            </w:r>
          </w:p>
        </w:tc>
      </w:tr>
      <w:tr>
        <w:trPr>
          <w:cantSplit/>
        </w:trPr>
        <w:tc>
          <w:tcPr>
            <w:tcW w:type="dxa" w:w="2952"/>
          </w:tcPr>
          <w:p>
            <w:pPr>
              <w:spacing w:after="80" w:before="60" w:line="245" w:lineRule="auto"/>
              <w:jc w:val="left"/>
            </w:pPr>
            <w:r>
              <w:rPr>
                <w:rFonts w:ascii="Times New Roman" w:hAnsi="Times New Roman"/>
                <w:b w:val="0"/>
                <w:sz w:val="19"/>
              </w:rPr>
              <w:t>CU29 Comparar candidatos visuales</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OE5</w:t>
              <w:br/>
              <w:t>D</w:t>
            </w:r>
          </w:p>
        </w:tc>
        <w:tc>
          <w:tcPr>
            <w:tcW w:type="dxa" w:w="4147"/>
          </w:tcPr>
          <w:p>
            <w:pPr>
              <w:spacing w:after="80" w:before="60" w:line="245" w:lineRule="auto"/>
              <w:jc w:val="left"/>
            </w:pPr>
            <w:r>
              <w:rPr>
                <w:rFonts w:ascii="Times New Roman" w:hAnsi="Times New Roman"/>
                <w:b w:val="0"/>
                <w:sz w:val="19"/>
              </w:rPr>
              <w:t>version_modelo, ejecucion_modelo, candidato_visual, evidencia y soporte</w:t>
            </w:r>
          </w:p>
        </w:tc>
      </w:tr>
      <w:tr>
        <w:trPr>
          <w:cantSplit/>
        </w:trPr>
        <w:tc>
          <w:tcPr>
            <w:tcW w:type="dxa" w:w="2952"/>
          </w:tcPr>
          <w:p>
            <w:pPr>
              <w:spacing w:after="80" w:before="60" w:line="245" w:lineRule="auto"/>
              <w:jc w:val="left"/>
            </w:pPr>
            <w:r>
              <w:rPr>
                <w:rFonts w:ascii="Times New Roman" w:hAnsi="Times New Roman"/>
                <w:b w:val="0"/>
                <w:sz w:val="19"/>
              </w:rPr>
              <w:t>CU30 Consultar copiloto del caso</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OE2, OE5</w:t>
              <w:br/>
              <w:t>D</w:t>
            </w:r>
          </w:p>
        </w:tc>
        <w:tc>
          <w:tcPr>
            <w:tcW w:type="dxa" w:w="4147"/>
          </w:tcPr>
          <w:p>
            <w:pPr>
              <w:spacing w:after="80" w:before="60" w:line="245" w:lineRule="auto"/>
              <w:jc w:val="left"/>
            </w:pPr>
            <w:r>
              <w:rPr>
                <w:rFonts w:ascii="Times New Roman" w:hAnsi="Times New Roman"/>
                <w:b w:val="0"/>
                <w:sz w:val="19"/>
              </w:rPr>
              <w:t>consulta_copiloto, afirmacion_copiloto, soporte_afirmacion, ejecucion_modelo</w:t>
            </w:r>
          </w:p>
        </w:tc>
      </w:tr>
      <w:tr>
        <w:trPr>
          <w:cantSplit/>
        </w:trPr>
        <w:tc>
          <w:tcPr>
            <w:tcW w:type="dxa" w:w="2952"/>
          </w:tcPr>
          <w:p>
            <w:pPr>
              <w:spacing w:after="80" w:before="60" w:line="245" w:lineRule="auto"/>
              <w:jc w:val="left"/>
            </w:pPr>
            <w:r>
              <w:rPr>
                <w:rFonts w:ascii="Times New Roman" w:hAnsi="Times New Roman"/>
                <w:b w:val="0"/>
                <w:sz w:val="19"/>
              </w:rPr>
              <w:t>CU31 Revisar recomendaciones de búsqueda</w:t>
            </w:r>
          </w:p>
        </w:tc>
        <w:tc>
          <w:tcPr>
            <w:tcW w:type="dxa" w:w="1469"/>
          </w:tcPr>
          <w:p>
            <w:pPr>
              <w:spacing w:after="80" w:before="60" w:line="245" w:lineRule="auto"/>
              <w:jc w:val="left"/>
            </w:pPr>
            <w:r>
              <w:rPr>
                <w:rFonts w:ascii="Times New Roman" w:hAnsi="Times New Roman"/>
                <w:b w:val="0"/>
                <w:sz w:val="19"/>
              </w:rPr>
              <w:t>Operador</w:t>
            </w:r>
          </w:p>
        </w:tc>
        <w:tc>
          <w:tcPr>
            <w:tcW w:type="dxa" w:w="1224"/>
          </w:tcPr>
          <w:p>
            <w:pPr>
              <w:spacing w:after="80" w:before="60" w:line="245" w:lineRule="auto"/>
              <w:jc w:val="left"/>
            </w:pPr>
            <w:r>
              <w:rPr>
                <w:rFonts w:ascii="Times New Roman" w:hAnsi="Times New Roman"/>
                <w:b w:val="0"/>
                <w:sz w:val="19"/>
              </w:rPr>
              <w:t>OE5</w:t>
              <w:br/>
              <w:t>D</w:t>
            </w:r>
          </w:p>
        </w:tc>
        <w:tc>
          <w:tcPr>
            <w:tcW w:type="dxa" w:w="4147"/>
          </w:tcPr>
          <w:p>
            <w:pPr>
              <w:spacing w:after="80" w:before="60" w:line="245" w:lineRule="auto"/>
              <w:jc w:val="left"/>
            </w:pPr>
            <w:r>
              <w:rPr>
                <w:rFonts w:ascii="Times New Roman" w:hAnsi="Times New Roman"/>
                <w:b w:val="0"/>
                <w:sz w:val="19"/>
              </w:rPr>
              <w:t>recomendacion_camara, revision_recomendacion, hipotesis_ruta, camara</w:t>
            </w:r>
          </w:p>
        </w:tc>
      </w:tr>
    </w:tbl>
    <w:p>
      <w:r>
        <w:t>Control de cobertura: los 31 casos tienen objetivos; los seis objetivos tienen casos asociados; las 56 tablas aparecen en la matriz de datos. Cuenta, permisos, auditoría y evaluación aportan de forma habilitante. No se presentan como mejora directa del usuario por el mero hecho de existir.</w:t>
      </w:r>
    </w:p>
    <w:p>
      <w:r>
        <w:br w:type="page"/>
      </w:r>
    </w:p>
    <w:p>
      <w:pPr>
        <w:pStyle w:val="Heading1"/>
      </w:pPr>
      <w:r>
        <w:t>6 Modelo conceptual y modelo físico</w:t>
      </w:r>
    </w:p>
    <w:p>
      <w:r>
        <w:t>El MER representa entidades, identificadores, atributos y asociaciones, sin tipos SQL. El modelo físico muestra las mismas entidades convertidas en tablas, con columnas, PK, FK y tipos PostgreSQL. Se utiliza una correspondencia explícita para que el equipo pueda ir desde una acción del usuario hasta su información persistida.</w:t>
      </w:r>
    </w:p>
    <w:p>
      <w:r>
        <w:t>La vista general es un plano ampliable de 56 entidades, incluidas las de soporte como consentimientos y entregas. Las ocho vistas por módulo conservan las referencias externas con un recuadro reducido. No son bases independientes. El diccionario contiene los 549 atributos físicos; el listado de relaciones detalla las 110 FK, incluidas las compuestas.</w:t>
      </w:r>
    </w:p>
    <w:tbl>
      <w:tblPr>
        <w:tblStyle w:val="TableGrid"/>
        <w:tblW w:type="auto" w:w="0"/>
        <w:tblLayout w:type="fixed"/>
        <w:tblLook w:firstColumn="1" w:firstRow="1" w:lastColumn="0" w:lastRow="0" w:noHBand="0" w:noVBand="1" w:val="04A0"/>
      </w:tblPr>
      <w:tblGrid>
        <w:gridCol w:w="2376"/>
        <w:gridCol w:w="7416"/>
      </w:tblGrid>
      <w:tr>
        <w:trPr>
          <w:tblHeader/>
          <w:cantSplit/>
        </w:trPr>
        <w:tc>
          <w:tcPr>
            <w:tcW w:type="dxa" w:w="2376"/>
          </w:tcPr>
          <w:p>
            <w:pPr>
              <w:spacing w:after="80" w:before="60" w:line="245" w:lineRule="auto"/>
              <w:jc w:val="left"/>
            </w:pPr>
            <w:r>
              <w:rPr>
                <w:rFonts w:ascii="Times New Roman" w:hAnsi="Times New Roman"/>
                <w:b/>
                <w:sz w:val="19"/>
              </w:rPr>
              <w:t>Módulo</w:t>
            </w:r>
          </w:p>
        </w:tc>
        <w:tc>
          <w:tcPr>
            <w:tcW w:type="dxa" w:w="7416"/>
          </w:tcPr>
          <w:p>
            <w:pPr>
              <w:spacing w:after="80" w:before="60" w:line="245" w:lineRule="auto"/>
              <w:jc w:val="left"/>
            </w:pPr>
            <w:r>
              <w:rPr>
                <w:rFonts w:ascii="Times New Roman" w:hAnsi="Times New Roman"/>
                <w:b/>
                <w:sz w:val="19"/>
              </w:rPr>
              <w:t>Entidades incluidas</w:t>
            </w:r>
          </w:p>
        </w:tc>
      </w:tr>
      <w:tr>
        <w:trPr>
          <w:cantSplit/>
        </w:trPr>
        <w:tc>
          <w:tcPr>
            <w:tcW w:type="dxa" w:w="2376"/>
          </w:tcPr>
          <w:p>
            <w:pPr>
              <w:spacing w:after="80" w:before="60" w:line="245" w:lineRule="auto"/>
              <w:jc w:val="left"/>
            </w:pPr>
            <w:r>
              <w:rPr>
                <w:rFonts w:ascii="Times New Roman" w:hAnsi="Times New Roman"/>
                <w:b w:val="0"/>
                <w:sz w:val="19"/>
              </w:rPr>
              <w:t>Identidad</w:t>
            </w:r>
          </w:p>
        </w:tc>
        <w:tc>
          <w:tcPr>
            <w:tcW w:type="dxa" w:w="7416"/>
          </w:tcPr>
          <w:p>
            <w:pPr>
              <w:spacing w:after="80" w:before="60" w:line="245" w:lineRule="auto"/>
              <w:jc w:val="left"/>
            </w:pPr>
            <w:r>
              <w:rPr>
                <w:rFonts w:ascii="Times New Roman" w:hAnsi="Times New Roman"/>
                <w:b w:val="0"/>
                <w:sz w:val="19"/>
              </w:rPr>
              <w:t>usuario, rol, usuario_rol, preferencia, consentimiento, dispositivo, token_acceso, organizacion, membresia</w:t>
            </w:r>
          </w:p>
        </w:tc>
      </w:tr>
      <w:tr>
        <w:trPr>
          <w:cantSplit/>
        </w:trPr>
        <w:tc>
          <w:tcPr>
            <w:tcW w:type="dxa" w:w="2376"/>
          </w:tcPr>
          <w:p>
            <w:pPr>
              <w:spacing w:after="80" w:before="60" w:line="245" w:lineRule="auto"/>
              <w:jc w:val="left"/>
            </w:pPr>
            <w:r>
              <w:rPr>
                <w:rFonts w:ascii="Times New Roman" w:hAnsi="Times New Roman"/>
                <w:b w:val="0"/>
                <w:sz w:val="19"/>
              </w:rPr>
              <w:t>Vehiculos y casos</w:t>
            </w:r>
          </w:p>
        </w:tc>
        <w:tc>
          <w:tcPr>
            <w:tcW w:type="dxa" w:w="7416"/>
          </w:tcPr>
          <w:p>
            <w:pPr>
              <w:spacing w:after="80" w:before="60" w:line="245" w:lineRule="auto"/>
              <w:jc w:val="left"/>
            </w:pPr>
            <w:r>
              <w:rPr>
                <w:rFonts w:ascii="Times New Roman" w:hAnsi="Times New Roman"/>
                <w:b w:val="0"/>
                <w:sz w:val="19"/>
              </w:rPr>
              <w:t>marca, modelo, vehiculo, foto_vehiculo, vinculo_vehiculo, caso, asignacion_caso, gestion_caso, canal_derivacion, derivacion_caso</w:t>
            </w:r>
          </w:p>
        </w:tc>
      </w:tr>
      <w:tr>
        <w:trPr>
          <w:cantSplit/>
        </w:trPr>
        <w:tc>
          <w:tcPr>
            <w:tcW w:type="dxa" w:w="2376"/>
          </w:tcPr>
          <w:p>
            <w:pPr>
              <w:spacing w:after="80" w:before="60" w:line="245" w:lineRule="auto"/>
              <w:jc w:val="left"/>
            </w:pPr>
            <w:r>
              <w:rPr>
                <w:rFonts w:ascii="Times New Roman" w:hAnsi="Times New Roman"/>
                <w:b w:val="0"/>
                <w:sz w:val="19"/>
              </w:rPr>
              <w:t>Red y apoyo</w:t>
            </w:r>
          </w:p>
        </w:tc>
        <w:tc>
          <w:tcPr>
            <w:tcW w:type="dxa" w:w="7416"/>
          </w:tcPr>
          <w:p>
            <w:pPr>
              <w:spacing w:after="80" w:before="60" w:line="245" w:lineRule="auto"/>
              <w:jc w:val="left"/>
            </w:pPr>
            <w:r>
              <w:rPr>
                <w:rFonts w:ascii="Times New Roman" w:hAnsi="Times New Roman"/>
                <w:b w:val="0"/>
                <w:sz w:val="19"/>
              </w:rPr>
              <w:t>solicitud_colaboracion, avistamiento, revision_avistamiento, evidencia, acceso_confianza, recurso_apoyo, moderacion_usuario</w:t>
            </w:r>
          </w:p>
        </w:tc>
      </w:tr>
      <w:tr>
        <w:trPr>
          <w:cantSplit/>
        </w:trPr>
        <w:tc>
          <w:tcPr>
            <w:tcW w:type="dxa" w:w="2376"/>
          </w:tcPr>
          <w:p>
            <w:pPr>
              <w:spacing w:after="80" w:before="60" w:line="245" w:lineRule="auto"/>
              <w:jc w:val="left"/>
            </w:pPr>
            <w:r>
              <w:rPr>
                <w:rFonts w:ascii="Times New Roman" w:hAnsi="Times New Roman"/>
                <w:b w:val="0"/>
                <w:sz w:val="19"/>
              </w:rPr>
              <w:t>Territorio y trayectos</w:t>
            </w:r>
          </w:p>
        </w:tc>
        <w:tc>
          <w:tcPr>
            <w:tcW w:type="dxa" w:w="7416"/>
          </w:tcPr>
          <w:p>
            <w:pPr>
              <w:spacing w:after="80" w:before="60" w:line="245" w:lineRule="auto"/>
              <w:jc w:val="left"/>
            </w:pPr>
            <w:r>
              <w:rPr>
                <w:rFonts w:ascii="Times New Roman" w:hAnsi="Times New Roman"/>
                <w:b w:val="0"/>
                <w:sz w:val="19"/>
              </w:rPr>
              <w:t>hecho_territorial, fuente_datos, lote_importacion, registro_fuente, consulta_ruta, alternativa_ruta, trayecto, aviso_territorial</w:t>
            </w:r>
          </w:p>
        </w:tc>
      </w:tr>
      <w:tr>
        <w:trPr>
          <w:cantSplit/>
        </w:trPr>
        <w:tc>
          <w:tcPr>
            <w:tcW w:type="dxa" w:w="2376"/>
          </w:tcPr>
          <w:p>
            <w:pPr>
              <w:spacing w:after="80" w:before="60" w:line="245" w:lineRule="auto"/>
              <w:jc w:val="left"/>
            </w:pPr>
            <w:r>
              <w:rPr>
                <w:rFonts w:ascii="Times New Roman" w:hAnsi="Times New Roman"/>
                <w:b w:val="0"/>
                <w:sz w:val="19"/>
              </w:rPr>
              <w:t>Notificaciones y evaluacion</w:t>
            </w:r>
          </w:p>
        </w:tc>
        <w:tc>
          <w:tcPr>
            <w:tcW w:type="dxa" w:w="7416"/>
          </w:tcPr>
          <w:p>
            <w:pPr>
              <w:spacing w:after="80" w:before="60" w:line="245" w:lineRule="auto"/>
              <w:jc w:val="left"/>
            </w:pPr>
            <w:r>
              <w:rPr>
                <w:rFonts w:ascii="Times New Roman" w:hAnsi="Times New Roman"/>
                <w:b w:val="0"/>
                <w:sz w:val="19"/>
              </w:rPr>
              <w:t>notificacion, entrega_notificacion, evento_salida, evento_auditoria, escenario_prueba, ejecucion_prueba, medicion</w:t>
            </w:r>
          </w:p>
        </w:tc>
      </w:tr>
      <w:tr>
        <w:trPr>
          <w:cantSplit/>
        </w:trPr>
        <w:tc>
          <w:tcPr>
            <w:tcW w:type="dxa" w:w="2376"/>
          </w:tcPr>
          <w:p>
            <w:pPr>
              <w:spacing w:after="80" w:before="60" w:line="245" w:lineRule="auto"/>
              <w:jc w:val="left"/>
            </w:pPr>
            <w:r>
              <w:rPr>
                <w:rFonts w:ascii="Times New Roman" w:hAnsi="Times New Roman"/>
                <w:b w:val="0"/>
                <w:sz w:val="19"/>
              </w:rPr>
              <w:t>Camaras y busqueda</w:t>
            </w:r>
          </w:p>
        </w:tc>
        <w:tc>
          <w:tcPr>
            <w:tcW w:type="dxa" w:w="7416"/>
          </w:tcPr>
          <w:p>
            <w:pPr>
              <w:spacing w:after="80" w:before="60" w:line="245" w:lineRule="auto"/>
              <w:jc w:val="left"/>
            </w:pPr>
            <w:r>
              <w:rPr>
                <w:rFonts w:ascii="Times New Roman" w:hAnsi="Times New Roman"/>
                <w:b w:val="0"/>
                <w:sz w:val="19"/>
              </w:rPr>
              <w:t>camara, sesion_busqueda, observacion_busqueda, hipotesis_ruta, recomendacion_camara, revision_recomendacion, consulta_video</w:t>
            </w:r>
          </w:p>
        </w:tc>
      </w:tr>
      <w:tr>
        <w:trPr>
          <w:cantSplit/>
        </w:trPr>
        <w:tc>
          <w:tcPr>
            <w:tcW w:type="dxa" w:w="2376"/>
          </w:tcPr>
          <w:p>
            <w:pPr>
              <w:spacing w:after="80" w:before="60" w:line="245" w:lineRule="auto"/>
              <w:jc w:val="left"/>
            </w:pPr>
            <w:r>
              <w:rPr>
                <w:rFonts w:ascii="Times New Roman" w:hAnsi="Times New Roman"/>
                <w:b w:val="0"/>
                <w:sz w:val="19"/>
              </w:rPr>
              <w:t>Asistencia IA</w:t>
            </w:r>
          </w:p>
        </w:tc>
        <w:tc>
          <w:tcPr>
            <w:tcW w:type="dxa" w:w="7416"/>
          </w:tcPr>
          <w:p>
            <w:pPr>
              <w:spacing w:after="80" w:before="60" w:line="245" w:lineRule="auto"/>
              <w:jc w:val="left"/>
            </w:pPr>
            <w:r>
              <w:rPr>
                <w:rFonts w:ascii="Times New Roman" w:hAnsi="Times New Roman"/>
                <w:b w:val="0"/>
                <w:sz w:val="19"/>
              </w:rPr>
              <w:t>version_modelo, ejecucion_modelo, candidato_visual, consulta_copiloto, afirmacion_copiloto, soporte_afirmacion</w:t>
            </w:r>
          </w:p>
        </w:tc>
      </w:tr>
      <w:tr>
        <w:trPr>
          <w:cantSplit/>
        </w:trPr>
        <w:tc>
          <w:tcPr>
            <w:tcW w:type="dxa" w:w="2376"/>
          </w:tcPr>
          <w:p>
            <w:pPr>
              <w:spacing w:after="80" w:before="60" w:line="245" w:lineRule="auto"/>
              <w:jc w:val="left"/>
            </w:pPr>
            <w:r>
              <w:rPr>
                <w:rFonts w:ascii="Times New Roman" w:hAnsi="Times New Roman"/>
                <w:b w:val="0"/>
                <w:sz w:val="19"/>
              </w:rPr>
              <w:t>Analitica</w:t>
            </w:r>
          </w:p>
        </w:tc>
        <w:tc>
          <w:tcPr>
            <w:tcW w:type="dxa" w:w="7416"/>
          </w:tcPr>
          <w:p>
            <w:pPr>
              <w:spacing w:after="80" w:before="60" w:line="245" w:lineRule="auto"/>
              <w:jc w:val="left"/>
            </w:pPr>
            <w:r>
              <w:rPr>
                <w:rFonts w:ascii="Times New Roman" w:hAnsi="Times New Roman"/>
                <w:b w:val="0"/>
                <w:sz w:val="19"/>
              </w:rPr>
              <w:t>version_indicador, consulta_indicador</w:t>
            </w:r>
          </w:p>
        </w:tc>
      </w:tr>
    </w:tbl>
    <w:p>
      <w:pPr>
        <w:pStyle w:val="Heading2"/>
      </w:pPr>
      <w:r>
        <w:t>Convenciones del MER</w:t>
      </w:r>
    </w:p>
    <w:p>
      <w:r>
        <w:t>ID identifica una instancia. Un atributo con “?” es opcional; los identificadores no lo son. En cada extremo de una relación, 1 significa exactamente uno, 0..1 cero o uno y 0..* cero o muchos. La participación obligatoria se expresa con mínimo 1. La multiplicidad inversa puede limitarse por reglas temporales, documentadas aparte.</w:t>
      </w:r>
    </w:p>
    <w:p>
      <w:r>
        <w:br w:type="page"/>
      </w:r>
    </w:p>
    <w:p>
      <w:pPr>
        <w:pStyle w:val="Heading1"/>
      </w:pPr>
      <w:r>
        <w:t>7 Cardinalidad y participación</w:t>
      </w:r>
    </w:p>
    <w:tbl>
      <w:tblPr>
        <w:tblStyle w:val="TableGrid"/>
        <w:tblW w:type="auto" w:w="0"/>
        <w:tblLayout w:type="fixed"/>
        <w:tblLook w:firstColumn="1" w:firstRow="1" w:lastColumn="0" w:lastRow="0" w:noHBand="0" w:noVBand="1" w:val="04A0"/>
      </w:tblPr>
      <w:tblGrid>
        <w:gridCol w:w="2952"/>
        <w:gridCol w:w="6840"/>
      </w:tblGrid>
      <w:tr>
        <w:trPr>
          <w:tblHeader/>
          <w:cantSplit/>
        </w:trPr>
        <w:tc>
          <w:tcPr>
            <w:tcW w:type="dxa" w:w="2952"/>
          </w:tcPr>
          <w:p>
            <w:pPr>
              <w:spacing w:after="80" w:before="60" w:line="245" w:lineRule="auto"/>
              <w:jc w:val="left"/>
            </w:pPr>
            <w:r>
              <w:rPr>
                <w:rFonts w:ascii="Times New Roman" w:hAnsi="Times New Roman"/>
                <w:b/>
                <w:sz w:val="19"/>
              </w:rPr>
              <w:t>Relación</w:t>
            </w:r>
          </w:p>
        </w:tc>
        <w:tc>
          <w:tcPr>
            <w:tcW w:type="dxa" w:w="6840"/>
          </w:tcPr>
          <w:p>
            <w:pPr>
              <w:spacing w:after="80" w:before="60" w:line="245" w:lineRule="auto"/>
              <w:jc w:val="left"/>
            </w:pPr>
            <w:r>
              <w:rPr>
                <w:rFonts w:ascii="Times New Roman" w:hAnsi="Times New Roman"/>
                <w:b/>
                <w:sz w:val="19"/>
              </w:rPr>
              <w:t>Cardinalidad y significado</w:t>
            </w:r>
          </w:p>
        </w:tc>
      </w:tr>
      <w:tr>
        <w:trPr>
          <w:cantSplit/>
        </w:trPr>
        <w:tc>
          <w:tcPr>
            <w:tcW w:type="dxa" w:w="2952"/>
          </w:tcPr>
          <w:p>
            <w:pPr>
              <w:spacing w:after="80" w:before="60" w:line="245" w:lineRule="auto"/>
              <w:jc w:val="left"/>
            </w:pPr>
            <w:r>
              <w:rPr>
                <w:rFonts w:ascii="Times New Roman" w:hAnsi="Times New Roman"/>
                <w:b w:val="0"/>
                <w:sz w:val="19"/>
              </w:rPr>
              <w:t>Marca y Modelo</w:t>
            </w:r>
          </w:p>
        </w:tc>
        <w:tc>
          <w:tcPr>
            <w:tcW w:type="dxa" w:w="6840"/>
          </w:tcPr>
          <w:p>
            <w:pPr>
              <w:spacing w:after="80" w:before="60" w:line="245" w:lineRule="auto"/>
              <w:jc w:val="left"/>
            </w:pPr>
            <w:r>
              <w:rPr>
                <w:rFonts w:ascii="Times New Roman" w:hAnsi="Times New Roman"/>
                <w:b w:val="0"/>
                <w:sz w:val="19"/>
              </w:rPr>
              <w:t>Una marca tiene 0..* modelos; cada modelo pertenece a 1 marca obligatoria.</w:t>
            </w:r>
          </w:p>
        </w:tc>
      </w:tr>
      <w:tr>
        <w:trPr>
          <w:cantSplit/>
        </w:trPr>
        <w:tc>
          <w:tcPr>
            <w:tcW w:type="dxa" w:w="2952"/>
          </w:tcPr>
          <w:p>
            <w:pPr>
              <w:spacing w:after="80" w:before="60" w:line="245" w:lineRule="auto"/>
              <w:jc w:val="left"/>
            </w:pPr>
            <w:r>
              <w:rPr>
                <w:rFonts w:ascii="Times New Roman" w:hAnsi="Times New Roman"/>
                <w:b w:val="0"/>
                <w:sz w:val="19"/>
              </w:rPr>
              <w:t>Modelo y Vehículo</w:t>
            </w:r>
          </w:p>
        </w:tc>
        <w:tc>
          <w:tcPr>
            <w:tcW w:type="dxa" w:w="6840"/>
          </w:tcPr>
          <w:p>
            <w:pPr>
              <w:spacing w:after="80" w:before="60" w:line="245" w:lineRule="auto"/>
              <w:jc w:val="left"/>
            </w:pPr>
            <w:r>
              <w:rPr>
                <w:rFonts w:ascii="Times New Roman" w:hAnsi="Times New Roman"/>
                <w:b w:val="0"/>
                <w:sz w:val="19"/>
              </w:rPr>
              <w:t>Un modelo corresponde a 0..* vehículos; cada vehículo requiere 1 modelo.</w:t>
            </w:r>
          </w:p>
        </w:tc>
      </w:tr>
      <w:tr>
        <w:trPr>
          <w:cantSplit/>
        </w:trPr>
        <w:tc>
          <w:tcPr>
            <w:tcW w:type="dxa" w:w="2952"/>
          </w:tcPr>
          <w:p>
            <w:pPr>
              <w:spacing w:after="80" w:before="60" w:line="245" w:lineRule="auto"/>
              <w:jc w:val="left"/>
            </w:pPr>
            <w:r>
              <w:rPr>
                <w:rFonts w:ascii="Times New Roman" w:hAnsi="Times New Roman"/>
                <w:b w:val="0"/>
                <w:sz w:val="19"/>
              </w:rPr>
              <w:t>Usuario y Vehículo</w:t>
            </w:r>
          </w:p>
        </w:tc>
        <w:tc>
          <w:tcPr>
            <w:tcW w:type="dxa" w:w="6840"/>
          </w:tcPr>
          <w:p>
            <w:pPr>
              <w:spacing w:after="80" w:before="60" w:line="245" w:lineRule="auto"/>
              <w:jc w:val="left"/>
            </w:pPr>
            <w:r>
              <w:rPr>
                <w:rFonts w:ascii="Times New Roman" w:hAnsi="Times New Roman"/>
                <w:b w:val="0"/>
                <w:sz w:val="19"/>
              </w:rPr>
              <w:t>Muchos a muchos mediante VínculoVehículo. Cada vínculo requiere 1 usuario y 1 vehículo; conserva tipo, revisión y vigencia.</w:t>
            </w:r>
          </w:p>
        </w:tc>
      </w:tr>
      <w:tr>
        <w:trPr>
          <w:cantSplit/>
        </w:trPr>
        <w:tc>
          <w:tcPr>
            <w:tcW w:type="dxa" w:w="2952"/>
          </w:tcPr>
          <w:p>
            <w:pPr>
              <w:spacing w:after="80" w:before="60" w:line="245" w:lineRule="auto"/>
              <w:jc w:val="left"/>
            </w:pPr>
            <w:r>
              <w:rPr>
                <w:rFonts w:ascii="Times New Roman" w:hAnsi="Times New Roman"/>
                <w:b w:val="0"/>
                <w:sz w:val="19"/>
              </w:rPr>
              <w:t>Usuario y Caso</w:t>
            </w:r>
          </w:p>
        </w:tc>
        <w:tc>
          <w:tcPr>
            <w:tcW w:type="dxa" w:w="6840"/>
          </w:tcPr>
          <w:p>
            <w:pPr>
              <w:spacing w:after="80" w:before="60" w:line="245" w:lineRule="auto"/>
              <w:jc w:val="left"/>
            </w:pPr>
            <w:r>
              <w:rPr>
                <w:rFonts w:ascii="Times New Roman" w:hAnsi="Times New Roman"/>
                <w:b w:val="0"/>
                <w:sz w:val="19"/>
              </w:rPr>
              <w:t>Un usuario puede reportar 0..* casos; cada caso requiere 1 reportante y 1 vehículo.</w:t>
            </w:r>
          </w:p>
        </w:tc>
      </w:tr>
      <w:tr>
        <w:trPr>
          <w:cantSplit/>
        </w:trPr>
        <w:tc>
          <w:tcPr>
            <w:tcW w:type="dxa" w:w="2952"/>
          </w:tcPr>
          <w:p>
            <w:pPr>
              <w:spacing w:after="80" w:before="60" w:line="245" w:lineRule="auto"/>
              <w:jc w:val="left"/>
            </w:pPr>
            <w:r>
              <w:rPr>
                <w:rFonts w:ascii="Times New Roman" w:hAnsi="Times New Roman"/>
                <w:b w:val="0"/>
                <w:sz w:val="19"/>
              </w:rPr>
              <w:t>Organización y Caso</w:t>
            </w:r>
          </w:p>
        </w:tc>
        <w:tc>
          <w:tcPr>
            <w:tcW w:type="dxa" w:w="6840"/>
          </w:tcPr>
          <w:p>
            <w:pPr>
              <w:spacing w:after="80" w:before="60" w:line="245" w:lineRule="auto"/>
              <w:jc w:val="left"/>
            </w:pPr>
            <w:r>
              <w:rPr>
                <w:rFonts w:ascii="Times New Roman" w:hAnsi="Times New Roman"/>
                <w:b w:val="0"/>
                <w:sz w:val="19"/>
              </w:rPr>
              <w:t>Una organización recibe 0..* casos; un caso tiene 0..1 organización, porque puede no existir receptor habilitado.</w:t>
            </w:r>
          </w:p>
        </w:tc>
      </w:tr>
      <w:tr>
        <w:trPr>
          <w:cantSplit/>
        </w:trPr>
        <w:tc>
          <w:tcPr>
            <w:tcW w:type="dxa" w:w="2952"/>
          </w:tcPr>
          <w:p>
            <w:pPr>
              <w:spacing w:after="80" w:before="60" w:line="245" w:lineRule="auto"/>
              <w:jc w:val="left"/>
            </w:pPr>
            <w:r>
              <w:rPr>
                <w:rFonts w:ascii="Times New Roman" w:hAnsi="Times New Roman"/>
                <w:b w:val="0"/>
                <w:sz w:val="19"/>
              </w:rPr>
              <w:t>Caso y Asignación</w:t>
            </w:r>
          </w:p>
        </w:tc>
        <w:tc>
          <w:tcPr>
            <w:tcW w:type="dxa" w:w="6840"/>
          </w:tcPr>
          <w:p>
            <w:pPr>
              <w:spacing w:after="80" w:before="60" w:line="245" w:lineRule="auto"/>
              <w:jc w:val="left"/>
            </w:pPr>
            <w:r>
              <w:rPr>
                <w:rFonts w:ascii="Times New Roman" w:hAnsi="Times New Roman"/>
                <w:b w:val="0"/>
                <w:sz w:val="19"/>
              </w:rPr>
              <w:t>Un caso tiene 0..* asignaciones históricas; cada asignación exige 1 caso y 1 membresía de su organización. Máximo 1 activa.</w:t>
            </w:r>
          </w:p>
        </w:tc>
      </w:tr>
      <w:tr>
        <w:trPr>
          <w:cantSplit/>
        </w:trPr>
        <w:tc>
          <w:tcPr>
            <w:tcW w:type="dxa" w:w="2952"/>
          </w:tcPr>
          <w:p>
            <w:pPr>
              <w:spacing w:after="80" w:before="60" w:line="245" w:lineRule="auto"/>
              <w:jc w:val="left"/>
            </w:pPr>
            <w:r>
              <w:rPr>
                <w:rFonts w:ascii="Times New Roman" w:hAnsi="Times New Roman"/>
                <w:b w:val="0"/>
                <w:sz w:val="19"/>
              </w:rPr>
              <w:t>Solicitud y Avistamiento</w:t>
            </w:r>
          </w:p>
        </w:tc>
        <w:tc>
          <w:tcPr>
            <w:tcW w:type="dxa" w:w="6840"/>
          </w:tcPr>
          <w:p>
            <w:pPr>
              <w:spacing w:after="80" w:before="60" w:line="245" w:lineRule="auto"/>
              <w:jc w:val="left"/>
            </w:pPr>
            <w:r>
              <w:rPr>
                <w:rFonts w:ascii="Times New Roman" w:hAnsi="Times New Roman"/>
                <w:b w:val="0"/>
                <w:sz w:val="19"/>
              </w:rPr>
              <w:t>Una solicitud recibe 0..* avistamientos; cada avistamiento requiere 1 solicitud y pertenece al mismo caso.</w:t>
            </w:r>
          </w:p>
        </w:tc>
      </w:tr>
      <w:tr>
        <w:trPr>
          <w:cantSplit/>
        </w:trPr>
        <w:tc>
          <w:tcPr>
            <w:tcW w:type="dxa" w:w="2952"/>
          </w:tcPr>
          <w:p>
            <w:pPr>
              <w:spacing w:after="80" w:before="60" w:line="245" w:lineRule="auto"/>
              <w:jc w:val="left"/>
            </w:pPr>
            <w:r>
              <w:rPr>
                <w:rFonts w:ascii="Times New Roman" w:hAnsi="Times New Roman"/>
                <w:b w:val="0"/>
                <w:sz w:val="19"/>
              </w:rPr>
              <w:t>Caso y Evidencia</w:t>
            </w:r>
          </w:p>
        </w:tc>
        <w:tc>
          <w:tcPr>
            <w:tcW w:type="dxa" w:w="6840"/>
          </w:tcPr>
          <w:p>
            <w:pPr>
              <w:spacing w:after="80" w:before="60" w:line="245" w:lineRule="auto"/>
              <w:jc w:val="left"/>
            </w:pPr>
            <w:r>
              <w:rPr>
                <w:rFonts w:ascii="Times New Roman" w:hAnsi="Times New Roman"/>
                <w:b w:val="0"/>
                <w:sz w:val="19"/>
              </w:rPr>
              <w:t>Un caso tiene 0..* evidencias; cada evidencia requiere 1 caso. Puede vincularse a 0..1 avistamiento del mismo caso.</w:t>
            </w:r>
          </w:p>
        </w:tc>
      </w:tr>
      <w:tr>
        <w:trPr>
          <w:cantSplit/>
        </w:trPr>
        <w:tc>
          <w:tcPr>
            <w:tcW w:type="dxa" w:w="2952"/>
          </w:tcPr>
          <w:p>
            <w:pPr>
              <w:spacing w:after="80" w:before="60" w:line="245" w:lineRule="auto"/>
              <w:jc w:val="left"/>
            </w:pPr>
            <w:r>
              <w:rPr>
                <w:rFonts w:ascii="Times New Roman" w:hAnsi="Times New Roman"/>
                <w:b w:val="0"/>
                <w:sz w:val="19"/>
              </w:rPr>
              <w:t>Usuario y Preferencia</w:t>
            </w:r>
          </w:p>
        </w:tc>
        <w:tc>
          <w:tcPr>
            <w:tcW w:type="dxa" w:w="6840"/>
          </w:tcPr>
          <w:p>
            <w:pPr>
              <w:spacing w:after="80" w:before="60" w:line="245" w:lineRule="auto"/>
              <w:jc w:val="left"/>
            </w:pPr>
            <w:r>
              <w:rPr>
                <w:rFonts w:ascii="Times New Roman" w:hAnsi="Times New Roman"/>
                <w:b w:val="0"/>
                <w:sz w:val="19"/>
              </w:rPr>
              <w:t>Un usuario tiene 0..1 configuración almacenada; cada preferencia pertenece a 1 usuario. Ausencia implica valores por defecto de la aplicación.</w:t>
            </w:r>
          </w:p>
        </w:tc>
      </w:tr>
      <w:tr>
        <w:trPr>
          <w:cantSplit/>
        </w:trPr>
        <w:tc>
          <w:tcPr>
            <w:tcW w:type="dxa" w:w="2952"/>
          </w:tcPr>
          <w:p>
            <w:pPr>
              <w:spacing w:after="80" w:before="60" w:line="245" w:lineRule="auto"/>
              <w:jc w:val="left"/>
            </w:pPr>
            <w:r>
              <w:rPr>
                <w:rFonts w:ascii="Times New Roman" w:hAnsi="Times New Roman"/>
                <w:b w:val="0"/>
                <w:sz w:val="19"/>
              </w:rPr>
              <w:t>Sesión y Observación</w:t>
            </w:r>
          </w:p>
        </w:tc>
        <w:tc>
          <w:tcPr>
            <w:tcW w:type="dxa" w:w="6840"/>
          </w:tcPr>
          <w:p>
            <w:pPr>
              <w:spacing w:after="80" w:before="60" w:line="245" w:lineRule="auto"/>
              <w:jc w:val="left"/>
            </w:pPr>
            <w:r>
              <w:rPr>
                <w:rFonts w:ascii="Times New Roman" w:hAnsi="Times New Roman"/>
                <w:b w:val="0"/>
                <w:sz w:val="19"/>
              </w:rPr>
              <w:t>Una sesión reúne 0..* observaciones; cada observación pertenece a 1 sesión. La sesión elige 0..1 ancla propia después de registrar la observación.</w:t>
            </w:r>
          </w:p>
        </w:tc>
      </w:tr>
      <w:tr>
        <w:trPr>
          <w:cantSplit/>
        </w:trPr>
        <w:tc>
          <w:tcPr>
            <w:tcW w:type="dxa" w:w="2952"/>
          </w:tcPr>
          <w:p>
            <w:pPr>
              <w:spacing w:after="80" w:before="60" w:line="245" w:lineRule="auto"/>
              <w:jc w:val="left"/>
            </w:pPr>
            <w:r>
              <w:rPr>
                <w:rFonts w:ascii="Times New Roman" w:hAnsi="Times New Roman"/>
                <w:b w:val="0"/>
                <w:sz w:val="19"/>
              </w:rPr>
              <w:t>Hipótesis y Recomendación</w:t>
            </w:r>
          </w:p>
        </w:tc>
        <w:tc>
          <w:tcPr>
            <w:tcW w:type="dxa" w:w="6840"/>
          </w:tcPr>
          <w:p>
            <w:pPr>
              <w:spacing w:after="80" w:before="60" w:line="245" w:lineRule="auto"/>
              <w:jc w:val="left"/>
            </w:pPr>
            <w:r>
              <w:rPr>
                <w:rFonts w:ascii="Times New Roman" w:hAnsi="Times New Roman"/>
                <w:b w:val="0"/>
                <w:sz w:val="19"/>
              </w:rPr>
              <w:t>Una hipótesis genera 0..* recomendaciones; cada recomendación requiere 1 hipótesis y 1 cámara autorizada en la misma organización.</w:t>
            </w:r>
          </w:p>
        </w:tc>
      </w:tr>
      <w:tr>
        <w:trPr>
          <w:cantSplit/>
        </w:trPr>
        <w:tc>
          <w:tcPr>
            <w:tcW w:type="dxa" w:w="2952"/>
          </w:tcPr>
          <w:p>
            <w:pPr>
              <w:spacing w:after="80" w:before="60" w:line="245" w:lineRule="auto"/>
              <w:jc w:val="left"/>
            </w:pPr>
            <w:r>
              <w:rPr>
                <w:rFonts w:ascii="Times New Roman" w:hAnsi="Times New Roman"/>
                <w:b w:val="0"/>
                <w:sz w:val="19"/>
              </w:rPr>
              <w:t>Afirmación y Soporte</w:t>
            </w:r>
          </w:p>
        </w:tc>
        <w:tc>
          <w:tcPr>
            <w:tcW w:type="dxa" w:w="6840"/>
          </w:tcPr>
          <w:p>
            <w:pPr>
              <w:spacing w:after="80" w:before="60" w:line="245" w:lineRule="auto"/>
              <w:jc w:val="left"/>
            </w:pPr>
            <w:r>
              <w:rPr>
                <w:rFonts w:ascii="Times New Roman" w:hAnsi="Times New Roman"/>
                <w:b w:val="0"/>
                <w:sz w:val="19"/>
              </w:rPr>
              <w:t>Una afirmación puede tener 0..* soportes; cada soporte pertenece a 1 afirmación y apunta a exactamente 1 observación, candidato o recomendación de su sesión.</w:t>
            </w:r>
          </w:p>
        </w:tc>
      </w:tr>
    </w:tbl>
    <w:p>
      <w:r>
        <w:t>Un hecho emitido por el copiloto debe tener al menos un soporte antes de publicar la respuesta. Una limitación puede no tenerlo. Esa regla depende del conjunto de filas y se comprueba en la transacción de la API. Las FK compuestas impiden que un soporte apunte a antecedentes de otra sesión.</w:t>
      </w:r>
    </w:p>
    <w:p>
      <w:r>
        <w:br w:type="page"/>
      </w:r>
    </w:p>
    <w:p>
      <w:pPr>
        <w:pStyle w:val="Heading1"/>
      </w:pPr>
      <w:r>
        <w:t>8 Integridad y responsabilidades técnicas</w:t>
      </w:r>
    </w:p>
    <w:tbl>
      <w:tblPr>
        <w:tblStyle w:val="TableGrid"/>
        <w:tblW w:type="auto" w:w="0"/>
        <w:tblLayout w:type="fixed"/>
        <w:tblLook w:firstColumn="1" w:firstRow="1" w:lastColumn="0" w:lastRow="0" w:noHBand="0" w:noVBand="1" w:val="04A0"/>
      </w:tblPr>
      <w:tblGrid>
        <w:gridCol w:w="2304"/>
        <w:gridCol w:w="7488"/>
      </w:tblGrid>
      <w:tr>
        <w:trPr>
          <w:tblHeader/>
          <w:cantSplit/>
        </w:trPr>
        <w:tc>
          <w:tcPr>
            <w:tcW w:type="dxa" w:w="2304"/>
          </w:tcPr>
          <w:p>
            <w:pPr>
              <w:spacing w:after="80" w:before="60" w:line="245" w:lineRule="auto"/>
              <w:jc w:val="left"/>
            </w:pPr>
            <w:r>
              <w:rPr>
                <w:rFonts w:ascii="Times New Roman" w:hAnsi="Times New Roman"/>
                <w:b/>
                <w:sz w:val="19"/>
              </w:rPr>
              <w:t>Control</w:t>
            </w:r>
          </w:p>
        </w:tc>
        <w:tc>
          <w:tcPr>
            <w:tcW w:type="dxa" w:w="7488"/>
          </w:tcPr>
          <w:p>
            <w:pPr>
              <w:spacing w:after="80" w:before="60" w:line="245" w:lineRule="auto"/>
              <w:jc w:val="left"/>
            </w:pPr>
            <w:r>
              <w:rPr>
                <w:rFonts w:ascii="Times New Roman" w:hAnsi="Times New Roman"/>
                <w:b/>
                <w:sz w:val="19"/>
              </w:rPr>
              <w:t>Implementación y límite</w:t>
            </w:r>
          </w:p>
        </w:tc>
      </w:tr>
      <w:tr>
        <w:trPr>
          <w:cantSplit/>
        </w:trPr>
        <w:tc>
          <w:tcPr>
            <w:tcW w:type="dxa" w:w="2304"/>
          </w:tcPr>
          <w:p>
            <w:pPr>
              <w:spacing w:after="80" w:before="60" w:line="245" w:lineRule="auto"/>
              <w:jc w:val="left"/>
            </w:pPr>
            <w:r>
              <w:rPr>
                <w:rFonts w:ascii="Times New Roman" w:hAnsi="Times New Roman"/>
                <w:b w:val="0"/>
                <w:sz w:val="19"/>
              </w:rPr>
              <w:t>Identidad y duplicados</w:t>
            </w:r>
          </w:p>
        </w:tc>
        <w:tc>
          <w:tcPr>
            <w:tcW w:type="dxa" w:w="7488"/>
          </w:tcPr>
          <w:p>
            <w:pPr>
              <w:spacing w:after="80" w:before="60" w:line="245" w:lineRule="auto"/>
              <w:jc w:val="left"/>
            </w:pPr>
            <w:r>
              <w:rPr>
                <w:rFonts w:ascii="Times New Roman" w:hAnsi="Times New Roman"/>
                <w:b w:val="0"/>
                <w:sz w:val="19"/>
              </w:rPr>
              <w:t>PK con identidad; correo y patente normalizados; claves de envío únicas por autor. Un duplicado no se convierte en nueva evidencia por reintento.</w:t>
            </w:r>
          </w:p>
        </w:tc>
      </w:tr>
      <w:tr>
        <w:trPr>
          <w:cantSplit/>
        </w:trPr>
        <w:tc>
          <w:tcPr>
            <w:tcW w:type="dxa" w:w="2304"/>
          </w:tcPr>
          <w:p>
            <w:pPr>
              <w:spacing w:after="80" w:before="60" w:line="245" w:lineRule="auto"/>
              <w:jc w:val="left"/>
            </w:pPr>
            <w:r>
              <w:rPr>
                <w:rFonts w:ascii="Times New Roman" w:hAnsi="Times New Roman"/>
                <w:b w:val="0"/>
                <w:sz w:val="19"/>
              </w:rPr>
              <w:t>Ámbito coherente</w:t>
            </w:r>
          </w:p>
        </w:tc>
        <w:tc>
          <w:tcPr>
            <w:tcW w:type="dxa" w:w="7488"/>
          </w:tcPr>
          <w:p>
            <w:pPr>
              <w:spacing w:after="80" w:before="60" w:line="245" w:lineRule="auto"/>
              <w:jc w:val="left"/>
            </w:pPr>
            <w:r>
              <w:rPr>
                <w:rFonts w:ascii="Times New Roman" w:hAnsi="Times New Roman"/>
                <w:b w:val="0"/>
                <w:sz w:val="19"/>
              </w:rPr>
              <w:t>FK compuestas relacionan caso–organización, caso–evidencia, sesión–observación y sesión–soporte. No sustituyen la autorización del actor autenticado.</w:t>
            </w:r>
          </w:p>
        </w:tc>
      </w:tr>
      <w:tr>
        <w:trPr>
          <w:cantSplit/>
        </w:trPr>
        <w:tc>
          <w:tcPr>
            <w:tcW w:type="dxa" w:w="2304"/>
          </w:tcPr>
          <w:p>
            <w:pPr>
              <w:spacing w:after="80" w:before="60" w:line="245" w:lineRule="auto"/>
              <w:jc w:val="left"/>
            </w:pPr>
            <w:r>
              <w:rPr>
                <w:rFonts w:ascii="Times New Roman" w:hAnsi="Times New Roman"/>
                <w:b w:val="0"/>
                <w:sz w:val="19"/>
              </w:rPr>
              <w:t>Historia y vigencia</w:t>
            </w:r>
          </w:p>
        </w:tc>
        <w:tc>
          <w:tcPr>
            <w:tcW w:type="dxa" w:w="7488"/>
          </w:tcPr>
          <w:p>
            <w:pPr>
              <w:spacing w:after="80" w:before="60" w:line="245" w:lineRule="auto"/>
              <w:jc w:val="left"/>
            </w:pPr>
            <w:r>
              <w:rPr>
                <w:rFonts w:ascii="Times New Roman" w:hAnsi="Times New Roman"/>
                <w:b w:val="0"/>
                <w:sz w:val="19"/>
              </w:rPr>
              <w:t>Índices únicos parciales evitan dos asignaciones activas. Fechas y estados tienen CHECK. Triggers bloquean cambios ordinarios en auditoría, gestiones y revisiones.</w:t>
            </w:r>
          </w:p>
        </w:tc>
      </w:tr>
      <w:tr>
        <w:trPr>
          <w:cantSplit/>
        </w:trPr>
        <w:tc>
          <w:tcPr>
            <w:tcW w:type="dxa" w:w="2304"/>
          </w:tcPr>
          <w:p>
            <w:pPr>
              <w:spacing w:after="80" w:before="60" w:line="245" w:lineRule="auto"/>
              <w:jc w:val="left"/>
            </w:pPr>
            <w:r>
              <w:rPr>
                <w:rFonts w:ascii="Times New Roman" w:hAnsi="Times New Roman"/>
                <w:b w:val="0"/>
                <w:sz w:val="19"/>
              </w:rPr>
              <w:t>Revisión transaccional</w:t>
            </w:r>
          </w:p>
        </w:tc>
        <w:tc>
          <w:tcPr>
            <w:tcW w:type="dxa" w:w="7488"/>
          </w:tcPr>
          <w:p>
            <w:pPr>
              <w:spacing w:after="80" w:before="60" w:line="245" w:lineRule="auto"/>
              <w:jc w:val="left"/>
            </w:pPr>
            <w:r>
              <w:rPr>
                <w:rFonts w:ascii="Times New Roman" w:hAnsi="Times New Roman"/>
                <w:b w:val="0"/>
                <w:sz w:val="19"/>
              </w:rPr>
              <w:t>La función revisar_avistamiento verifica membresía, bloquea el aporte y registra decisión, historial, evento y auditoría en una operación. FastAPI obtiene el revisor de la sesión, no del formulario.</w:t>
            </w:r>
          </w:p>
        </w:tc>
      </w:tr>
      <w:tr>
        <w:trPr>
          <w:cantSplit/>
        </w:trPr>
        <w:tc>
          <w:tcPr>
            <w:tcW w:type="dxa" w:w="2304"/>
          </w:tcPr>
          <w:p>
            <w:pPr>
              <w:spacing w:after="80" w:before="60" w:line="245" w:lineRule="auto"/>
              <w:jc w:val="left"/>
            </w:pPr>
            <w:r>
              <w:rPr>
                <w:rFonts w:ascii="Times New Roman" w:hAnsi="Times New Roman"/>
                <w:b w:val="0"/>
                <w:sz w:val="19"/>
              </w:rPr>
              <w:t>Recuperación</w:t>
            </w:r>
          </w:p>
        </w:tc>
        <w:tc>
          <w:tcPr>
            <w:tcW w:type="dxa" w:w="7488"/>
          </w:tcPr>
          <w:p>
            <w:pPr>
              <w:spacing w:after="80" w:before="60" w:line="245" w:lineRule="auto"/>
              <w:jc w:val="left"/>
            </w:pPr>
            <w:r>
              <w:rPr>
                <w:rFonts w:ascii="Times New Roman" w:hAnsi="Times New Roman"/>
                <w:b w:val="0"/>
                <w:sz w:val="19"/>
              </w:rPr>
              <w:t>El cierre recuperado requiere fecha y evidencia del mismo caso. La API comprueba que el respaldo recibido fue revisado; la base no determina si la escena es verdadera.</w:t>
            </w:r>
          </w:p>
        </w:tc>
      </w:tr>
      <w:tr>
        <w:trPr>
          <w:cantSplit/>
        </w:trPr>
        <w:tc>
          <w:tcPr>
            <w:tcW w:type="dxa" w:w="2304"/>
          </w:tcPr>
          <w:p>
            <w:pPr>
              <w:spacing w:after="80" w:before="60" w:line="245" w:lineRule="auto"/>
              <w:jc w:val="left"/>
            </w:pPr>
            <w:r>
              <w:rPr>
                <w:rFonts w:ascii="Times New Roman" w:hAnsi="Times New Roman"/>
                <w:b w:val="0"/>
                <w:sz w:val="19"/>
              </w:rPr>
              <w:t>Archivos y privacidad</w:t>
            </w:r>
          </w:p>
        </w:tc>
        <w:tc>
          <w:tcPr>
            <w:tcW w:type="dxa" w:w="7488"/>
          </w:tcPr>
          <w:p>
            <w:pPr>
              <w:spacing w:after="80" w:before="60" w:line="245" w:lineRule="auto"/>
              <w:jc w:val="left"/>
            </w:pPr>
            <w:r>
              <w:rPr>
                <w:rFonts w:ascii="Times New Roman" w:hAnsi="Times New Roman"/>
                <w:b w:val="0"/>
                <w:sz w:val="19"/>
              </w:rPr>
              <w:t>Sólo metadatos, clave privada y huella en PostgreSQL. Bytes en almacenamiento privado. Una huella detecta cambios; no prueba autenticidad de un relato.</w:t>
            </w:r>
          </w:p>
        </w:tc>
      </w:tr>
      <w:tr>
        <w:trPr>
          <w:cantSplit/>
        </w:trPr>
        <w:tc>
          <w:tcPr>
            <w:tcW w:type="dxa" w:w="2304"/>
          </w:tcPr>
          <w:p>
            <w:pPr>
              <w:spacing w:after="80" w:before="60" w:line="245" w:lineRule="auto"/>
              <w:jc w:val="left"/>
            </w:pPr>
            <w:r>
              <w:rPr>
                <w:rFonts w:ascii="Times New Roman" w:hAnsi="Times New Roman"/>
                <w:b w:val="0"/>
                <w:sz w:val="19"/>
              </w:rPr>
              <w:t>Geografía</w:t>
            </w:r>
          </w:p>
        </w:tc>
        <w:tc>
          <w:tcPr>
            <w:tcW w:type="dxa" w:w="7488"/>
          </w:tcPr>
          <w:p>
            <w:pPr>
              <w:spacing w:after="80" w:before="60" w:line="245" w:lineRule="auto"/>
              <w:jc w:val="left"/>
            </w:pPr>
            <w:r>
              <w:rPr>
                <w:rFonts w:ascii="Times New Roman" w:hAnsi="Times New Roman"/>
                <w:b w:val="0"/>
                <w:sz w:val="19"/>
              </w:rPr>
              <w:t>Puntos geography en EPSG 4326; rutas y cobertura geometry con SRID e índices GiST. Distancias geográficas en metros. La API valida longitud/latitud antes de convertir.</w:t>
            </w:r>
          </w:p>
        </w:tc>
      </w:tr>
      <w:tr>
        <w:trPr>
          <w:cantSplit/>
        </w:trPr>
        <w:tc>
          <w:tcPr>
            <w:tcW w:type="dxa" w:w="2304"/>
          </w:tcPr>
          <w:p>
            <w:pPr>
              <w:spacing w:after="80" w:before="60" w:line="245" w:lineRule="auto"/>
              <w:jc w:val="left"/>
            </w:pPr>
            <w:r>
              <w:rPr>
                <w:rFonts w:ascii="Times New Roman" w:hAnsi="Times New Roman"/>
                <w:b w:val="0"/>
                <w:sz w:val="19"/>
              </w:rPr>
              <w:t>Permisos de aplicación</w:t>
            </w:r>
          </w:p>
        </w:tc>
        <w:tc>
          <w:tcPr>
            <w:tcW w:type="dxa" w:w="7488"/>
          </w:tcPr>
          <w:p>
            <w:pPr>
              <w:spacing w:after="80" w:before="60" w:line="245" w:lineRule="auto"/>
              <w:jc w:val="left"/>
            </w:pPr>
            <w:r>
              <w:rPr>
                <w:rFonts w:ascii="Times New Roman" w:hAnsi="Times New Roman"/>
                <w:b w:val="0"/>
                <w:sz w:val="19"/>
              </w:rPr>
              <w:t>Sin GRANT a PUBLIC en el esquema. Una cuenta de servicio limitada debe ejecutar FastAPI; nunca se conectan móviles o ciudadanos directamente a la base.</w:t>
            </w:r>
          </w:p>
        </w:tc>
      </w:tr>
      <w:tr>
        <w:trPr>
          <w:cantSplit/>
        </w:trPr>
        <w:tc>
          <w:tcPr>
            <w:tcW w:type="dxa" w:w="2304"/>
          </w:tcPr>
          <w:p>
            <w:pPr>
              <w:spacing w:after="80" w:before="60" w:line="245" w:lineRule="auto"/>
              <w:jc w:val="left"/>
            </w:pPr>
            <w:r>
              <w:rPr>
                <w:rFonts w:ascii="Times New Roman" w:hAnsi="Times New Roman"/>
                <w:b w:val="0"/>
                <w:sz w:val="19"/>
              </w:rPr>
              <w:t>Reglas de varias filas</w:t>
            </w:r>
          </w:p>
        </w:tc>
        <w:tc>
          <w:tcPr>
            <w:tcW w:type="dxa" w:w="7488"/>
          </w:tcPr>
          <w:p>
            <w:pPr>
              <w:spacing w:after="80" w:before="60" w:line="245" w:lineRule="auto"/>
              <w:jc w:val="left"/>
            </w:pPr>
            <w:r>
              <w:rPr>
                <w:rFonts w:ascii="Times New Roman" w:hAnsi="Times New Roman"/>
                <w:b w:val="0"/>
                <w:sz w:val="19"/>
              </w:rPr>
              <w:t>Titularidad, contacto vigente, estados coherentes, ausencia de ciclos de duplicados, soporte mínimo de hechos y recursos autorizados se validan en la API y sus transacciones.</w:t>
            </w:r>
          </w:p>
        </w:tc>
      </w:tr>
    </w:tbl>
    <w:p>
      <w:r>
        <w:t>No se afirma aislamiento automático de usuarios por crear tablas o vistas. Esta entrega no configura RLS ni cuentas productivas. La API debe filtrar cada acceso y exportación por usuario y organización; el propietario técnico de la base se reserva para migraciones. Borrados físicos quedan restringidos por FK y la política de retención se implementará con procesos controlados.</w:t>
      </w:r>
    </w:p>
    <w:p>
      <w:r>
        <w:br w:type="page"/>
      </w:r>
    </w:p>
    <w:p>
      <w:pPr>
        <w:pStyle w:val="Heading1"/>
      </w:pPr>
      <w:r>
        <w:t>9 Consistencia con el libro y métricas</w:t>
      </w:r>
    </w:p>
    <w:p>
      <w:r>
        <w:t>El libro v4.1 consolidó 41 tablas anteriores y propuso doce para cámaras e IA. Esta entrega implementa esas 53 y agrega tres soportes que el propio alcance requiere: consulta_video, version_indicador y consulta_indicador. La primera registra el acceso efectivo a un recurso; las otras conservan definición, filtros y resultados de las métricas. El total es 56.</w:t>
      </w:r>
    </w:p>
    <w:p>
      <w:r>
        <w:t>Los identificadores de las entidades nuevas siguen la convención id_nombre_tabla: por ejemplo, id_observacion_busqueda e id_hipotesis_ruta. Esta convención reemplaza los nombres abreviados de la especificación textual anterior. Las fuentes JSON, el SQL y los diagramas usan exactamente los mismos identificadores.</w:t>
      </w:r>
    </w:p>
    <w:p>
      <w:r>
        <w:t>Se incorporan tipo_vehiculo, tipo_incidente, recuperado_en y evidencia de recuperación para sostener M04, M05, M11 y M12. La evidencia exportada de cámara referencia una consulta de video, conservando el caso, la cámara y el intervalo. EscenarioPrueba admite OE1 a OE6 y EjecuciónPrueba conserva el par y orden de comparación.</w:t>
      </w:r>
    </w:p>
    <w:p>
      <w:pPr>
        <w:pStyle w:val="Heading2"/>
      </w:pPr>
      <w:r>
        <w:t>Indicadores M01 a M18</w:t>
      </w:r>
    </w:p>
    <w:p>
      <w:r>
        <w:t>El catálogo incluye sector, evolución temporal, horarios, marca/modelo/tipo, clase de incidente, concentración territorial, cobertura de datos, aportes, primera revisión, carga, recuperaciones, tiempo hasta recuperación, calidad de aportes, archivos/notificaciones, cobertura de cámaras, búsqueda asistida, calidad visual y autonomía. El anexo Indicadores_y_datos.md identifica su cálculo y datos de soporte.</w:t>
      </w:r>
    </w:p>
    <w:p>
      <w:r>
        <w:t>Los conteos se filtran por organización, período y entorno. Los duplicados y fuentes del mismo hecho no se suman como incidentes distintos. Los resultados de prueba no se mezclan con operación. Cada consulta registra la definición utilizada y su fecha de corte; los datos insuficientes no se convierten en ceros ficticios.</w:t>
      </w:r>
    </w:p>
    <w:p>
      <w:pPr>
        <w:pStyle w:val="Heading2"/>
      </w:pPr>
      <w:r>
        <w:t>Límites de interpretación</w:t>
      </w:r>
    </w:p>
    <w:p>
      <w:r>
        <w:t>La marca con más reportes no equivale a la marca con mayor riesgo sin conocer la exposición. La tasa de recuperación conserva el denominador de su cohorte y fecha de corte. M15 requiere disponibilidad del intervalo; el estado actual de una cámara no reconstruye su historia. M17 usa etiquetas independientes del conjunto de evaluación. M18 mide tareas y derivaciones, no recuperación emocional.</w:t>
      </w:r>
    </w:p>
    <w:p>
      <w:r>
        <w:br w:type="page"/>
      </w:r>
    </w:p>
    <w:p>
      <w:pPr>
        <w:pStyle w:val="Heading1"/>
      </w:pPr>
      <w:r>
        <w:t>10 SQL y verificación ejecutada</w:t>
      </w:r>
    </w:p>
    <w:p>
      <w:r>
        <w:t>La creación del esquema y la carga de demostración se ejecutaron en PostgreSQL 18.3 mediante PGlite 0.5.8, con PostGIS 3.6.2. Es una ejecución del motor en WebAssembly; no equivale a validar despliegue nativo, conexiones concurrentes, rendimiento en Azure, cuentas reales ni recuperación de respaldos.</w:t>
      </w:r>
    </w:p>
    <w:tbl>
      <w:tblPr>
        <w:tblStyle w:val="TableGrid"/>
        <w:tblW w:type="auto" w:w="0"/>
        <w:tblLayout w:type="fixed"/>
        <w:tblLook w:firstColumn="1" w:firstRow="1" w:lastColumn="0" w:lastRow="0" w:noHBand="0" w:noVBand="1" w:val="04A0"/>
      </w:tblPr>
      <w:tblGrid>
        <w:gridCol w:w="2160"/>
        <w:gridCol w:w="7632"/>
      </w:tblGrid>
      <w:tr>
        <w:trPr>
          <w:tblHeader/>
          <w:cantSplit/>
        </w:trPr>
        <w:tc>
          <w:tcPr>
            <w:tcW w:type="dxa" w:w="2160"/>
          </w:tcPr>
          <w:p>
            <w:pPr>
              <w:spacing w:after="80" w:before="60" w:line="245" w:lineRule="auto"/>
              <w:jc w:val="left"/>
            </w:pPr>
            <w:r>
              <w:rPr>
                <w:rFonts w:ascii="Times New Roman" w:hAnsi="Times New Roman"/>
                <w:b/>
                <w:sz w:val="19"/>
              </w:rPr>
              <w:t>Resultado</w:t>
            </w:r>
          </w:p>
        </w:tc>
        <w:tc>
          <w:tcPr>
            <w:tcW w:type="dxa" w:w="7632"/>
          </w:tcPr>
          <w:p>
            <w:pPr>
              <w:spacing w:after="80" w:before="60" w:line="245" w:lineRule="auto"/>
              <w:jc w:val="left"/>
            </w:pPr>
            <w:r>
              <w:rPr>
                <w:rFonts w:ascii="Times New Roman" w:hAnsi="Times New Roman"/>
                <w:b/>
                <w:sz w:val="19"/>
              </w:rPr>
              <w:t>Evidencia</w:t>
            </w:r>
          </w:p>
        </w:tc>
      </w:tr>
      <w:tr>
        <w:trPr>
          <w:cantSplit/>
        </w:trPr>
        <w:tc>
          <w:tcPr>
            <w:tcW w:type="dxa" w:w="2160"/>
          </w:tcPr>
          <w:p>
            <w:pPr>
              <w:spacing w:after="80" w:before="60" w:line="245" w:lineRule="auto"/>
              <w:jc w:val="left"/>
            </w:pPr>
            <w:r>
              <w:rPr>
                <w:rFonts w:ascii="Times New Roman" w:hAnsi="Times New Roman"/>
                <w:b w:val="0"/>
                <w:sz w:val="19"/>
              </w:rPr>
              <w:t>Esquema</w:t>
            </w:r>
          </w:p>
        </w:tc>
        <w:tc>
          <w:tcPr>
            <w:tcW w:type="dxa" w:w="7632"/>
          </w:tcPr>
          <w:p>
            <w:pPr>
              <w:spacing w:after="80" w:before="60" w:line="245" w:lineRule="auto"/>
              <w:jc w:val="left"/>
            </w:pPr>
            <w:r>
              <w:rPr>
                <w:rFonts w:ascii="Times New Roman" w:hAnsi="Times New Roman"/>
                <w:b w:val="0"/>
                <w:sz w:val="19"/>
              </w:rPr>
              <w:t>56 tablas, 549 columnas, 110 FK, restricciones, índices y tipos espaciales creados.</w:t>
            </w:r>
          </w:p>
        </w:tc>
      </w:tr>
      <w:tr>
        <w:trPr>
          <w:cantSplit/>
        </w:trPr>
        <w:tc>
          <w:tcPr>
            <w:tcW w:type="dxa" w:w="2160"/>
          </w:tcPr>
          <w:p>
            <w:pPr>
              <w:spacing w:after="80" w:before="60" w:line="245" w:lineRule="auto"/>
              <w:jc w:val="left"/>
            </w:pPr>
            <w:r>
              <w:rPr>
                <w:rFonts w:ascii="Times New Roman" w:hAnsi="Times New Roman"/>
                <w:b w:val="0"/>
                <w:sz w:val="19"/>
              </w:rPr>
              <w:t>Operaciones</w:t>
            </w:r>
          </w:p>
        </w:tc>
        <w:tc>
          <w:tcPr>
            <w:tcW w:type="dxa" w:w="7632"/>
          </w:tcPr>
          <w:p>
            <w:pPr>
              <w:spacing w:after="80" w:before="60" w:line="245" w:lineRule="auto"/>
              <w:jc w:val="left"/>
            </w:pPr>
            <w:r>
              <w:rPr>
                <w:rFonts w:ascii="Times New Roman" w:hAnsi="Times New Roman"/>
                <w:b w:val="0"/>
                <w:sz w:val="19"/>
              </w:rPr>
              <w:t>Cinco vistas internas, actualización de fechas, protección de historial y revisión transaccional.</w:t>
            </w:r>
          </w:p>
        </w:tc>
      </w:tr>
      <w:tr>
        <w:trPr>
          <w:cantSplit/>
        </w:trPr>
        <w:tc>
          <w:tcPr>
            <w:tcW w:type="dxa" w:w="2160"/>
          </w:tcPr>
          <w:p>
            <w:pPr>
              <w:spacing w:after="80" w:before="60" w:line="245" w:lineRule="auto"/>
              <w:jc w:val="left"/>
            </w:pPr>
            <w:r>
              <w:rPr>
                <w:rFonts w:ascii="Times New Roman" w:hAnsi="Times New Roman"/>
                <w:b w:val="0"/>
                <w:sz w:val="19"/>
              </w:rPr>
              <w:t>Datos de demostración</w:t>
            </w:r>
          </w:p>
        </w:tc>
        <w:tc>
          <w:tcPr>
            <w:tcW w:type="dxa" w:w="7632"/>
          </w:tcPr>
          <w:p>
            <w:pPr>
              <w:spacing w:after="80" w:before="60" w:line="245" w:lineRule="auto"/>
              <w:jc w:val="left"/>
            </w:pPr>
            <w:r>
              <w:rPr>
                <w:rFonts w:ascii="Times New Roman" w:hAnsi="Times New Roman"/>
                <w:b w:val="0"/>
                <w:sz w:val="19"/>
              </w:rPr>
              <w:t>Cuentas, organizaciones, vehículos, caso, avistamiento, revisión, trayecto, contacto, cámaras y referencias del copiloto; todos ficticios.</w:t>
            </w:r>
          </w:p>
        </w:tc>
      </w:tr>
      <w:tr>
        <w:trPr>
          <w:cantSplit/>
        </w:trPr>
        <w:tc>
          <w:tcPr>
            <w:tcW w:type="dxa" w:w="2160"/>
          </w:tcPr>
          <w:p>
            <w:pPr>
              <w:spacing w:after="80" w:before="60" w:line="245" w:lineRule="auto"/>
              <w:jc w:val="left"/>
            </w:pPr>
            <w:r>
              <w:rPr>
                <w:rFonts w:ascii="Times New Roman" w:hAnsi="Times New Roman"/>
                <w:b w:val="0"/>
                <w:sz w:val="19"/>
              </w:rPr>
              <w:t>Pruebas</w:t>
            </w:r>
          </w:p>
        </w:tc>
        <w:tc>
          <w:tcPr>
            <w:tcW w:type="dxa" w:w="7632"/>
          </w:tcPr>
          <w:p>
            <w:pPr>
              <w:spacing w:after="80" w:before="60" w:line="245" w:lineRule="auto"/>
              <w:jc w:val="left"/>
            </w:pPr>
            <w:r>
              <w:rPr>
                <w:rFonts w:ascii="Times New Roman" w:hAnsi="Times New Roman"/>
                <w:b w:val="0"/>
                <w:sz w:val="19"/>
              </w:rPr>
              <w:t>36 comprobaciones de integridad y geometría con resultado correcto; informe y SQL reproducible incluidos.</w:t>
            </w:r>
          </w:p>
        </w:tc>
      </w:tr>
      <w:tr>
        <w:trPr>
          <w:cantSplit/>
        </w:trPr>
        <w:tc>
          <w:tcPr>
            <w:tcW w:type="dxa" w:w="2160"/>
          </w:tcPr>
          <w:p>
            <w:pPr>
              <w:spacing w:after="80" w:before="60" w:line="245" w:lineRule="auto"/>
              <w:jc w:val="left"/>
            </w:pPr>
            <w:r>
              <w:rPr>
                <w:rFonts w:ascii="Times New Roman" w:hAnsi="Times New Roman"/>
                <w:b w:val="0"/>
                <w:sz w:val="19"/>
              </w:rPr>
              <w:t>Trazabilidad</w:t>
            </w:r>
          </w:p>
        </w:tc>
        <w:tc>
          <w:tcPr>
            <w:tcW w:type="dxa" w:w="7632"/>
          </w:tcPr>
          <w:p>
            <w:pPr>
              <w:spacing w:after="80" w:before="60" w:line="245" w:lineRule="auto"/>
              <w:jc w:val="left"/>
            </w:pPr>
            <w:r>
              <w:rPr>
                <w:rFonts w:ascii="Times New Roman" w:hAnsi="Times New Roman"/>
                <w:b w:val="0"/>
                <w:sz w:val="19"/>
              </w:rPr>
              <w:t>31/31 casos con objetivo, 6/6 objetivos con casos y 56/56 tablas asociadas a casos de uso.</w:t>
            </w:r>
          </w:p>
        </w:tc>
      </w:tr>
    </w:tbl>
    <w:p>
      <w:pPr>
        <w:pStyle w:val="Heading2"/>
      </w:pPr>
      <w:r>
        <w:t>Orden de ejecución</w:t>
      </w:r>
    </w:p>
    <w:p>
      <w:r>
        <w:t>En una base vacía con la extensión PostGIS disponible, ejecutar 01_Esquema_PostgreSQL_PostGIS.sql y 02_Vistas_y_operaciones.sql. Como alternativa, RutaAlerta_PostgreSQL_Completo.sql reúne ambos: no ejecutar las dos opciones sobre el mismo esquema. El script no elimina una base existente ni migra automáticamente registros de MySQL u Oracle.</w:t>
      </w:r>
    </w:p>
    <w:p>
      <w:r>
        <w:t>06_Catalogo_indicadores.sql carga las definiciones M01 a M18. Sólo para demostración, ejecutar 03_Datos_demo.sql y después 04_Pruebas_integridad.sql. Las pruebas revierten sus cambios, aunque las secuencias pueden avanzar. 05_Consultas_espaciales.sql ofrece consultas de lectura.</w:t>
      </w:r>
    </w:p>
    <w:p>
      <w:pPr>
        <w:pStyle w:val="Heading2"/>
      </w:pPr>
      <w:r>
        <w:t>Visualizar las conexiones</w:t>
      </w:r>
    </w:p>
    <w:p>
      <w:r>
        <w:t>Abrir Visor_RutaAlerta.html permite examinar UML, MER y ER sin instalar la base. Después de crear el esquema en PostgreSQL, conectar DBeaver, actualizar el navegador, abrir el esquema rutaalerta y su diagrama, o seleccionar tablas para una vista personalizada. Las relaciones se generan desde las FK reales. PostGIS debe estar instalado en el servidor antes de habilitar la extensión. La visualización en DBeaver se describe en [R4].</w:t>
      </w:r>
    </w:p>
    <w:p>
      <w:r>
        <w:br w:type="page"/>
      </w:r>
    </w:p>
    <w:p>
      <w:pPr>
        <w:pStyle w:val="Heading1"/>
      </w:pPr>
      <w:r>
        <w:t>11 Organización de la entrega y trabajo del equipo</w:t>
      </w:r>
    </w:p>
    <w:p>
      <w:r>
        <w:t>La carpeta preparada para el repositorio es documentacion/RutaAlerta. Contiene este informe, los atlas PDF, el visor, diagramas PNG/SVG, fuentes editables, SQL, diccionario, trazabilidad y evidencia de verificación. Los archivos anteriores del repositorio se conservan como antecedentes; esta entrega define el diseño PostgreSQL consolidado.</w:t>
      </w:r>
    </w:p>
    <w:tbl>
      <w:tblPr>
        <w:tblStyle w:val="TableGrid"/>
        <w:tblW w:type="auto" w:w="0"/>
        <w:tblLayout w:type="fixed"/>
        <w:tblLook w:firstColumn="1" w:firstRow="1" w:lastColumn="0" w:lastRow="0" w:noHBand="0" w:noVBand="1" w:val="04A0"/>
      </w:tblPr>
      <w:tblGrid>
        <w:gridCol w:w="1757"/>
        <w:gridCol w:w="5256"/>
        <w:gridCol w:w="2779"/>
      </w:tblGrid>
      <w:tr>
        <w:trPr>
          <w:tblHeader/>
          <w:cantSplit/>
        </w:trPr>
        <w:tc>
          <w:tcPr>
            <w:tcW w:type="dxa" w:w="1757"/>
          </w:tcPr>
          <w:p>
            <w:pPr>
              <w:spacing w:after="80" w:before="60" w:line="245" w:lineRule="auto"/>
              <w:jc w:val="left"/>
            </w:pPr>
            <w:r>
              <w:rPr>
                <w:rFonts w:ascii="Times New Roman" w:hAnsi="Times New Roman"/>
                <w:b/>
                <w:sz w:val="19"/>
              </w:rPr>
              <w:t>Integrante</w:t>
            </w:r>
          </w:p>
        </w:tc>
        <w:tc>
          <w:tcPr>
            <w:tcW w:type="dxa" w:w="5256"/>
          </w:tcPr>
          <w:p>
            <w:pPr>
              <w:spacing w:after="80" w:before="60" w:line="245" w:lineRule="auto"/>
              <w:jc w:val="left"/>
            </w:pPr>
            <w:r>
              <w:rPr>
                <w:rFonts w:ascii="Times New Roman" w:hAnsi="Times New Roman"/>
                <w:b/>
                <w:sz w:val="19"/>
              </w:rPr>
              <w:t>Revisión y aporte propuestos</w:t>
            </w:r>
          </w:p>
        </w:tc>
        <w:tc>
          <w:tcPr>
            <w:tcW w:type="dxa" w:w="2779"/>
          </w:tcPr>
          <w:p>
            <w:pPr>
              <w:spacing w:after="80" w:before="60" w:line="245" w:lineRule="auto"/>
              <w:jc w:val="left"/>
            </w:pPr>
            <w:r>
              <w:rPr>
                <w:rFonts w:ascii="Times New Roman" w:hAnsi="Times New Roman"/>
                <w:b/>
                <w:sz w:val="19"/>
              </w:rPr>
              <w:t>Commit después de trabajo real</w:t>
            </w:r>
          </w:p>
        </w:tc>
      </w:tr>
      <w:tr>
        <w:trPr>
          <w:cantSplit/>
        </w:trPr>
        <w:tc>
          <w:tcPr>
            <w:tcW w:type="dxa" w:w="1757"/>
          </w:tcPr>
          <w:p>
            <w:pPr>
              <w:spacing w:after="80" w:before="60" w:line="245" w:lineRule="auto"/>
              <w:jc w:val="left"/>
            </w:pPr>
            <w:r>
              <w:rPr>
                <w:rFonts w:ascii="Times New Roman" w:hAnsi="Times New Roman"/>
                <w:b w:val="0"/>
                <w:sz w:val="19"/>
              </w:rPr>
              <w:t>Jorge Ceballos</w:t>
            </w:r>
          </w:p>
        </w:tc>
        <w:tc>
          <w:tcPr>
            <w:tcW w:type="dxa" w:w="5256"/>
          </w:tcPr>
          <w:p>
            <w:pPr>
              <w:spacing w:after="80" w:before="60" w:line="245" w:lineRule="auto"/>
              <w:jc w:val="left"/>
            </w:pPr>
            <w:r>
              <w:rPr>
                <w:rFonts w:ascii="Times New Roman" w:hAnsi="Times New Roman"/>
                <w:b w:val="0"/>
                <w:sz w:val="19"/>
              </w:rPr>
              <w:t>Revisar actores, alcance, CU, objetivos y guía de defensa. Corregir ambigüedades detectadas por el equipo.</w:t>
            </w:r>
          </w:p>
        </w:tc>
        <w:tc>
          <w:tcPr>
            <w:tcW w:type="dxa" w:w="2779"/>
          </w:tcPr>
          <w:p>
            <w:pPr>
              <w:spacing w:after="80" w:before="60" w:line="245" w:lineRule="auto"/>
              <w:jc w:val="left"/>
            </w:pPr>
            <w:r>
              <w:rPr>
                <w:rFonts w:ascii="Times New Roman" w:hAnsi="Times New Roman"/>
                <w:b w:val="0"/>
                <w:sz w:val="19"/>
              </w:rPr>
              <w:t>docs: validar casos de uso y trazabilidad de RutaAlerta</w:t>
            </w:r>
          </w:p>
        </w:tc>
      </w:tr>
      <w:tr>
        <w:trPr>
          <w:cantSplit/>
        </w:trPr>
        <w:tc>
          <w:tcPr>
            <w:tcW w:type="dxa" w:w="1757"/>
          </w:tcPr>
          <w:p>
            <w:pPr>
              <w:spacing w:after="80" w:before="60" w:line="245" w:lineRule="auto"/>
              <w:jc w:val="left"/>
            </w:pPr>
            <w:r>
              <w:rPr>
                <w:rFonts w:ascii="Times New Roman" w:hAnsi="Times New Roman"/>
                <w:b w:val="0"/>
                <w:sz w:val="19"/>
              </w:rPr>
              <w:t>Juan Marinan</w:t>
            </w:r>
          </w:p>
        </w:tc>
        <w:tc>
          <w:tcPr>
            <w:tcW w:type="dxa" w:w="5256"/>
          </w:tcPr>
          <w:p>
            <w:pPr>
              <w:spacing w:after="80" w:before="60" w:line="245" w:lineRule="auto"/>
              <w:jc w:val="left"/>
            </w:pPr>
            <w:r>
              <w:rPr>
                <w:rFonts w:ascii="Times New Roman" w:hAnsi="Times New Roman"/>
                <w:b w:val="0"/>
                <w:sz w:val="19"/>
              </w:rPr>
              <w:t>Revisar flujos móviles, permisos, avistamientos, contacto, trayecto y estados sin conexión. Registrar decisiones y cambios.</w:t>
            </w:r>
          </w:p>
        </w:tc>
        <w:tc>
          <w:tcPr>
            <w:tcW w:type="dxa" w:w="2779"/>
          </w:tcPr>
          <w:p>
            <w:pPr>
              <w:spacing w:after="80" w:before="60" w:line="245" w:lineRule="auto"/>
              <w:jc w:val="left"/>
            </w:pPr>
            <w:r>
              <w:rPr>
                <w:rFonts w:ascii="Times New Roman" w:hAnsi="Times New Roman"/>
                <w:b w:val="0"/>
                <w:sz w:val="19"/>
              </w:rPr>
              <w:t>docs: revisar flujos ciudadanos y participación del MER</w:t>
            </w:r>
          </w:p>
        </w:tc>
      </w:tr>
      <w:tr>
        <w:trPr>
          <w:cantSplit/>
        </w:trPr>
        <w:tc>
          <w:tcPr>
            <w:tcW w:type="dxa" w:w="1757"/>
          </w:tcPr>
          <w:p>
            <w:pPr>
              <w:spacing w:after="80" w:before="60" w:line="245" w:lineRule="auto"/>
              <w:jc w:val="left"/>
            </w:pPr>
            <w:r>
              <w:rPr>
                <w:rFonts w:ascii="Times New Roman" w:hAnsi="Times New Roman"/>
                <w:b w:val="0"/>
                <w:sz w:val="19"/>
              </w:rPr>
              <w:t>Alan Bravo</w:t>
            </w:r>
          </w:p>
        </w:tc>
        <w:tc>
          <w:tcPr>
            <w:tcW w:type="dxa" w:w="5256"/>
          </w:tcPr>
          <w:p>
            <w:pPr>
              <w:spacing w:after="80" w:before="60" w:line="245" w:lineRule="auto"/>
              <w:jc w:val="left"/>
            </w:pPr>
            <w:r>
              <w:rPr>
                <w:rFonts w:ascii="Times New Roman" w:hAnsi="Times New Roman"/>
                <w:b w:val="0"/>
                <w:sz w:val="19"/>
              </w:rPr>
              <w:t>Ejecutar SQL en PostgreSQL/PostGIS del equipo, revisar claves y métricas; conservar resultado real del ensayo.</w:t>
            </w:r>
          </w:p>
        </w:tc>
        <w:tc>
          <w:tcPr>
            <w:tcW w:type="dxa" w:w="2779"/>
          </w:tcPr>
          <w:p>
            <w:pPr>
              <w:spacing w:after="80" w:before="60" w:line="245" w:lineRule="auto"/>
              <w:jc w:val="left"/>
            </w:pPr>
            <w:r>
              <w:rPr>
                <w:rFonts w:ascii="Times New Roman" w:hAnsi="Times New Roman"/>
                <w:b w:val="0"/>
                <w:sz w:val="19"/>
              </w:rPr>
              <w:t>db: validar esquema PostgreSQL y relaciones de RutaAlerta</w:t>
            </w:r>
          </w:p>
        </w:tc>
      </w:tr>
    </w:tbl>
    <w:p>
      <w:r>
        <w:t>Este reparto es una propuesta de revisión, no una declaración de aportes ya realizados. Cada integrante debe hacer su cambio o revisión verificable desde su cuenta. No se deben atribuir commits a compañeros que no participaron ni alterar fechas para aparentar una entrega anterior. El equipo debe revisar también el trabajo de los otros integrantes.</w:t>
      </w:r>
    </w:p>
    <w:p>
      <w:pPr>
        <w:pStyle w:val="Heading2"/>
      </w:pPr>
      <w:r>
        <w:t>Decisiones que todos deben poder explicar</w:t>
      </w:r>
    </w:p>
    <w:p>
      <w:r>
        <w:t>Por qué un actor es un rol externo y no una pantalla; por qué el contacto necesita permisos por caso; por qué un avistamiento no modifica por sí solo el estado de recuperación; por qué las FK incluyen organización o sesión; y por qué el MER conceptual no contiene detalles de tipos SQL.</w:t>
      </w:r>
    </w:p>
    <w:p>
      <w:r>
        <w:t>Antes de la revisión docente, abrir el UML general, recorrer el ejemplo de reporte–avistamiento–revisión–seguimiento y ubicar las entidades que intervienen. Luego mostrar el ancla, una hipótesis y su soporte. Finalizar con la meta que cada recorrido permite medir y con los límites que todavía deben probarse en la aplicación.</w:t>
      </w:r>
    </w:p>
    <w:p>
      <w:r>
        <w:br w:type="page"/>
      </w:r>
    </w:p>
    <w:p>
      <w:pPr>
        <w:pStyle w:val="Heading1"/>
      </w:pPr>
      <w:r>
        <w:t>12 Guía breve para la defensa</w:t>
      </w:r>
    </w:p>
    <w:p>
      <w:pPr>
        <w:pStyle w:val="Heading2"/>
      </w:pPr>
      <w:r>
        <w:t>Qué diferencia un objetivo de un caso de uso</w:t>
      </w:r>
    </w:p>
    <w:p>
      <w:r>
        <w:t>El objetivo mide el resultado esperado al usar el sistema, con meta y plazo. El caso de uso describe una acción del actor que contribuye a ese resultado. La reducción de tiempo de OE2 se evalúa; consultar el expediente es una función que ayuda a lograrla.</w:t>
      </w:r>
    </w:p>
    <w:p>
      <w:pPr>
        <w:pStyle w:val="Heading2"/>
      </w:pPr>
      <w:r>
        <w:t>Por qué existen tantas entidades</w:t>
      </w:r>
    </w:p>
    <w:p>
      <w:r>
        <w:t>Separan conceptos con distinta vida y permisos: usuario y membresía, caso y publicación, evidencia y archivo, revisión e historial, observación e hipótesis. Las 56 están trazadas a casos de uso; el número por sí solo no demuestra complejidad ni calidad.</w:t>
      </w:r>
    </w:p>
    <w:p>
      <w:pPr>
        <w:pStyle w:val="Heading2"/>
      </w:pPr>
      <w:r>
        <w:t>Por qué PostgreSQL y PostGIS</w:t>
      </w:r>
    </w:p>
    <w:p>
      <w:r>
        <w:t>El modelo combina relaciones transaccionales con puntos, recorridos y coberturas. PostGIS permite consultar proximidad e intersecciones. El cálculo de rutas y la IA siguen siendo servicios separados; la base no predice una encerrona.</w:t>
      </w:r>
    </w:p>
    <w:p>
      <w:pPr>
        <w:pStyle w:val="Heading2"/>
      </w:pPr>
      <w:r>
        <w:t>Qué pasa con un reporte falso</w:t>
      </w:r>
    </w:p>
    <w:p>
      <w:r>
        <w:t>El aporte llega pendiente; el operador registra decisión y motivo. Se conservan rectificaciones y procedencia. La moderación distingue error de buena fe de abuso y permite reclamación.</w:t>
      </w:r>
    </w:p>
    <w:p>
      <w:pPr>
        <w:pStyle w:val="Heading2"/>
      </w:pPr>
      <w:r>
        <w:t>Puede la víctima ir a buscar el auto con la ubicación</w:t>
      </w:r>
    </w:p>
    <w:p>
      <w:r>
        <w:t>El seguimiento ciudadano muestra información limitada y un sector aproximado; el mapa preciso de búsqueda queda en el ámbito institucional. La aplicación no organiza persecuciones ciudadanas.</w:t>
      </w:r>
    </w:p>
    <w:p>
      <w:pPr>
        <w:pStyle w:val="Heading2"/>
      </w:pPr>
      <w:r>
        <w:t>Las cámaras y la IA ya funcionan</w:t>
      </w:r>
    </w:p>
    <w:p>
      <w:r>
        <w:t>Esta entrega demuestra su modelo y persistencia. La conexión real requiere acceso autorizado y prueba del conector. Las recomendaciones deben mostrar soportes y ser revisadas; una simulación se declara como tal.</w:t>
      </w:r>
    </w:p>
    <w:p>
      <w:pPr>
        <w:pStyle w:val="Heading2"/>
      </w:pPr>
      <w:r>
        <w:t>Qué demuestra la prueba SQL</w:t>
      </w:r>
    </w:p>
    <w:p>
      <w:r>
        <w:t>Que el esquema, relaciones y controles ensayados se ejecutan en el motor utilizado. No demuestra interfaz completa, seguridad de la API, concurrencia productiva ni cumplimiento de las metas de usuarios.</w:t>
      </w:r>
    </w:p>
    <w:p>
      <w:pPr>
        <w:pStyle w:val="Heading2"/>
      </w:pPr>
      <w:r>
        <w:t>Hay relaciones sin FK</w:t>
      </w:r>
    </w:p>
    <w:p>
      <w:r>
        <w:t>Sólo las referencias descriptivas de auditoría y del buzón de eventos son genéricas por diseño. No reemplazan relaciones de negocio. Los soportes del copiloto sí usan destinos tipados y FK verificables.</w:t>
      </w:r>
    </w:p>
    <w:p>
      <w:r>
        <w:br w:type="page"/>
      </w:r>
    </w:p>
    <w:p>
      <w:pPr>
        <w:pStyle w:val="Heading1"/>
      </w:pPr>
      <w:r>
        <w:t>13 Fuentes y archivos de referencia</w:t>
      </w:r>
    </w:p>
    <w:p>
      <w:r>
        <w:t>R1 · Equipo Grupo 7. RutaAlerta Libro del Proyecto v4.1, 26 de septiembre de 2026. Fuente de alcance, objetivos y CU01–CU31.</w:t>
      </w:r>
    </w:p>
    <w:p>
      <w:r>
        <w:t>R2 · PostgreSQL. Documentation 18, Constraints. https://www.postgresql.org/docs/18/ddl-constraints.html</w:t>
      </w:r>
    </w:p>
    <w:p>
      <w:r>
        <w:t>R3 · PostGIS. ST_DWithin. https://postgis.net/docs/ST_DWithin.html</w:t>
      </w:r>
    </w:p>
    <w:p>
      <w:r>
        <w:t>R4 · DBeaver. Diagrams. https://dbeaver.com/docs/dbeaver/ER-Diagrams/</w:t>
      </w:r>
    </w:p>
    <w:p>
      <w:r>
        <w:t>R5 · PGlite. Extensions. https://pglite.dev/extensions/</w:t>
      </w:r>
    </w:p>
    <w:p>
      <w:r>
        <w:t>R6 · Instrucciones de la docente Mabel Alejandra Herrera Pino compartidas por el equipo: casos de uso general, MER, trazabilidad y revisión de decisiones.</w:t>
      </w:r>
    </w:p>
    <w:p>
      <w:r>
        <w:t>R7 · Repositorio del equipo consultado en commit 7ac7a4973acda89bbbdd7ebdc2e0537b2d2d8bcb. https://github.com/AlanBravo19/Capstone_2026_G7</w:t>
      </w:r>
    </w:p>
    <w:p>
      <w:pPr>
        <w:pStyle w:val="Heading2"/>
      </w:pPr>
      <w:r>
        <w:t>Inventario para revisión</w:t>
      </w:r>
    </w:p>
    <w:tbl>
      <w:tblPr>
        <w:tblStyle w:val="TableGrid"/>
        <w:tblW w:type="auto" w:w="0"/>
        <w:tblLayout w:type="fixed"/>
        <w:tblLook w:firstColumn="1" w:firstRow="1" w:lastColumn="0" w:lastRow="0" w:noHBand="0" w:noVBand="1" w:val="04A0"/>
      </w:tblPr>
      <w:tblGrid>
        <w:gridCol w:w="3240"/>
        <w:gridCol w:w="6552"/>
      </w:tblGrid>
      <w:tr>
        <w:trPr>
          <w:tblHeader/>
          <w:cantSplit/>
        </w:trPr>
        <w:tc>
          <w:tcPr>
            <w:tcW w:type="dxa" w:w="3240"/>
          </w:tcPr>
          <w:p>
            <w:pPr>
              <w:spacing w:after="80" w:before="60" w:line="245" w:lineRule="auto"/>
              <w:jc w:val="left"/>
            </w:pPr>
            <w:r>
              <w:rPr>
                <w:rFonts w:ascii="Times New Roman" w:hAnsi="Times New Roman"/>
                <w:b/>
                <w:sz w:val="19"/>
              </w:rPr>
              <w:t>Archivo o carpeta</w:t>
            </w:r>
          </w:p>
        </w:tc>
        <w:tc>
          <w:tcPr>
            <w:tcW w:type="dxa" w:w="6552"/>
          </w:tcPr>
          <w:p>
            <w:pPr>
              <w:spacing w:after="80" w:before="60" w:line="245" w:lineRule="auto"/>
              <w:jc w:val="left"/>
            </w:pPr>
            <w:r>
              <w:rPr>
                <w:rFonts w:ascii="Times New Roman" w:hAnsi="Times New Roman"/>
                <w:b/>
                <w:sz w:val="19"/>
              </w:rPr>
              <w:t>Uso</w:t>
            </w:r>
          </w:p>
        </w:tc>
      </w:tr>
      <w:tr>
        <w:trPr>
          <w:cantSplit/>
        </w:trPr>
        <w:tc>
          <w:tcPr>
            <w:tcW w:type="dxa" w:w="3240"/>
          </w:tcPr>
          <w:p>
            <w:pPr>
              <w:spacing w:after="80" w:before="60" w:line="245" w:lineRule="auto"/>
              <w:jc w:val="left"/>
            </w:pPr>
            <w:r>
              <w:rPr>
                <w:rFonts w:ascii="Times New Roman" w:hAnsi="Times New Roman"/>
                <w:b w:val="0"/>
                <w:sz w:val="19"/>
              </w:rPr>
              <w:t>Diagramas_UML.pdf</w:t>
            </w:r>
          </w:p>
        </w:tc>
        <w:tc>
          <w:tcPr>
            <w:tcW w:type="dxa" w:w="6552"/>
          </w:tcPr>
          <w:p>
            <w:pPr>
              <w:spacing w:after="80" w:before="60" w:line="245" w:lineRule="auto"/>
              <w:jc w:val="left"/>
            </w:pPr>
            <w:r>
              <w:rPr>
                <w:rFonts w:ascii="Times New Roman" w:hAnsi="Times New Roman"/>
                <w:b w:val="0"/>
                <w:sz w:val="19"/>
              </w:rPr>
              <w:t>Diagrama general y cinco vistas de detalle.</w:t>
            </w:r>
          </w:p>
        </w:tc>
      </w:tr>
      <w:tr>
        <w:trPr>
          <w:cantSplit/>
        </w:trPr>
        <w:tc>
          <w:tcPr>
            <w:tcW w:type="dxa" w:w="3240"/>
          </w:tcPr>
          <w:p>
            <w:pPr>
              <w:spacing w:after="80" w:before="60" w:line="245" w:lineRule="auto"/>
              <w:jc w:val="left"/>
            </w:pPr>
            <w:r>
              <w:rPr>
                <w:rFonts w:ascii="Times New Roman" w:hAnsi="Times New Roman"/>
                <w:b w:val="0"/>
                <w:sz w:val="19"/>
              </w:rPr>
              <w:t>Modelo_Conceptual_MER.pdf</w:t>
            </w:r>
          </w:p>
        </w:tc>
        <w:tc>
          <w:tcPr>
            <w:tcW w:type="dxa" w:w="6552"/>
          </w:tcPr>
          <w:p>
            <w:pPr>
              <w:spacing w:after="80" w:before="60" w:line="245" w:lineRule="auto"/>
              <w:jc w:val="left"/>
            </w:pPr>
            <w:r>
              <w:rPr>
                <w:rFonts w:ascii="Times New Roman" w:hAnsi="Times New Roman"/>
                <w:b w:val="0"/>
                <w:sz w:val="19"/>
              </w:rPr>
              <w:t>MER general y ocho módulos con atributos y multiplicidades.</w:t>
            </w:r>
          </w:p>
        </w:tc>
      </w:tr>
      <w:tr>
        <w:trPr>
          <w:cantSplit/>
        </w:trPr>
        <w:tc>
          <w:tcPr>
            <w:tcW w:type="dxa" w:w="3240"/>
          </w:tcPr>
          <w:p>
            <w:pPr>
              <w:spacing w:after="80" w:before="60" w:line="245" w:lineRule="auto"/>
              <w:jc w:val="left"/>
            </w:pPr>
            <w:r>
              <w:rPr>
                <w:rFonts w:ascii="Times New Roman" w:hAnsi="Times New Roman"/>
                <w:b w:val="0"/>
                <w:sz w:val="19"/>
              </w:rPr>
              <w:t>Modelo_Fisico_PostgreSQL.pdf</w:t>
            </w:r>
          </w:p>
        </w:tc>
        <w:tc>
          <w:tcPr>
            <w:tcW w:type="dxa" w:w="6552"/>
          </w:tcPr>
          <w:p>
            <w:pPr>
              <w:spacing w:after="80" w:before="60" w:line="245" w:lineRule="auto"/>
              <w:jc w:val="left"/>
            </w:pPr>
            <w:r>
              <w:rPr>
                <w:rFonts w:ascii="Times New Roman" w:hAnsi="Times New Roman"/>
                <w:b w:val="0"/>
                <w:sz w:val="19"/>
              </w:rPr>
              <w:t>ER físico general y ocho módulos con tipos, PK y FK.</w:t>
            </w:r>
          </w:p>
        </w:tc>
      </w:tr>
      <w:tr>
        <w:trPr>
          <w:cantSplit/>
        </w:trPr>
        <w:tc>
          <w:tcPr>
            <w:tcW w:type="dxa" w:w="3240"/>
          </w:tcPr>
          <w:p>
            <w:pPr>
              <w:spacing w:after="80" w:before="60" w:line="245" w:lineRule="auto"/>
              <w:jc w:val="left"/>
            </w:pPr>
            <w:r>
              <w:rPr>
                <w:rFonts w:ascii="Times New Roman" w:hAnsi="Times New Roman"/>
                <w:b w:val="0"/>
                <w:sz w:val="19"/>
              </w:rPr>
              <w:t>Visor_RutaAlerta.html</w:t>
            </w:r>
          </w:p>
        </w:tc>
        <w:tc>
          <w:tcPr>
            <w:tcW w:type="dxa" w:w="6552"/>
          </w:tcPr>
          <w:p>
            <w:pPr>
              <w:spacing w:after="80" w:before="60" w:line="245" w:lineRule="auto"/>
              <w:jc w:val="left"/>
            </w:pPr>
            <w:r>
              <w:rPr>
                <w:rFonts w:ascii="Times New Roman" w:hAnsi="Times New Roman"/>
                <w:b w:val="0"/>
                <w:sz w:val="19"/>
              </w:rPr>
              <w:t>Ampliar, buscar y descargar diagramas sin conexión.</w:t>
            </w:r>
          </w:p>
        </w:tc>
      </w:tr>
      <w:tr>
        <w:trPr>
          <w:cantSplit/>
        </w:trPr>
        <w:tc>
          <w:tcPr>
            <w:tcW w:type="dxa" w:w="3240"/>
          </w:tcPr>
          <w:p>
            <w:pPr>
              <w:spacing w:after="80" w:before="60" w:line="245" w:lineRule="auto"/>
              <w:jc w:val="left"/>
            </w:pPr>
            <w:r>
              <w:rPr>
                <w:rFonts w:ascii="Times New Roman" w:hAnsi="Times New Roman"/>
                <w:b w:val="0"/>
                <w:sz w:val="19"/>
              </w:rPr>
              <w:t>sql/</w:t>
            </w:r>
          </w:p>
        </w:tc>
        <w:tc>
          <w:tcPr>
            <w:tcW w:type="dxa" w:w="6552"/>
          </w:tcPr>
          <w:p>
            <w:pPr>
              <w:spacing w:after="80" w:before="60" w:line="245" w:lineRule="auto"/>
              <w:jc w:val="left"/>
            </w:pPr>
            <w:r>
              <w:rPr>
                <w:rFonts w:ascii="Times New Roman" w:hAnsi="Times New Roman"/>
                <w:b w:val="0"/>
                <w:sz w:val="19"/>
              </w:rPr>
              <w:t>Esquema, vistas, operaciones, datos ficticios, pruebas y catálogo.</w:t>
            </w:r>
          </w:p>
        </w:tc>
      </w:tr>
      <w:tr>
        <w:trPr>
          <w:cantSplit/>
        </w:trPr>
        <w:tc>
          <w:tcPr>
            <w:tcW w:type="dxa" w:w="3240"/>
          </w:tcPr>
          <w:p>
            <w:pPr>
              <w:spacing w:after="80" w:before="60" w:line="245" w:lineRule="auto"/>
              <w:jc w:val="left"/>
            </w:pPr>
            <w:r>
              <w:rPr>
                <w:rFonts w:ascii="Times New Roman" w:hAnsi="Times New Roman"/>
                <w:b w:val="0"/>
                <w:sz w:val="19"/>
              </w:rPr>
              <w:t>anexos/</w:t>
            </w:r>
          </w:p>
        </w:tc>
        <w:tc>
          <w:tcPr>
            <w:tcW w:type="dxa" w:w="6552"/>
          </w:tcPr>
          <w:p>
            <w:pPr>
              <w:spacing w:after="80" w:before="60" w:line="245" w:lineRule="auto"/>
              <w:jc w:val="left"/>
            </w:pPr>
            <w:r>
              <w:rPr>
                <w:rFonts w:ascii="Times New Roman" w:hAnsi="Times New Roman"/>
                <w:b w:val="0"/>
                <w:sz w:val="19"/>
              </w:rPr>
              <w:t>Casos detallados, diccionario, relaciones, matriz de objetivos e indicadores.</w:t>
            </w:r>
          </w:p>
        </w:tc>
      </w:tr>
      <w:tr>
        <w:trPr>
          <w:cantSplit/>
        </w:trPr>
        <w:tc>
          <w:tcPr>
            <w:tcW w:type="dxa" w:w="3240"/>
          </w:tcPr>
          <w:p>
            <w:pPr>
              <w:spacing w:after="80" w:before="60" w:line="245" w:lineRule="auto"/>
              <w:jc w:val="left"/>
            </w:pPr>
            <w:r>
              <w:rPr>
                <w:rFonts w:ascii="Times New Roman" w:hAnsi="Times New Roman"/>
                <w:b w:val="0"/>
                <w:sz w:val="19"/>
              </w:rPr>
              <w:t>fuentes/</w:t>
            </w:r>
          </w:p>
        </w:tc>
        <w:tc>
          <w:tcPr>
            <w:tcW w:type="dxa" w:w="6552"/>
          </w:tcPr>
          <w:p>
            <w:pPr>
              <w:spacing w:after="80" w:before="60" w:line="245" w:lineRule="auto"/>
              <w:jc w:val="left"/>
            </w:pPr>
            <w:r>
              <w:rPr>
                <w:rFonts w:ascii="Times New Roman" w:hAnsi="Times New Roman"/>
                <w:b w:val="0"/>
                <w:sz w:val="19"/>
              </w:rPr>
              <w:t>Modelos JSON, DOT y PlantUML editables.</w:t>
            </w:r>
          </w:p>
        </w:tc>
      </w:tr>
      <w:tr>
        <w:trPr>
          <w:cantSplit/>
        </w:trPr>
        <w:tc>
          <w:tcPr>
            <w:tcW w:type="dxa" w:w="3240"/>
          </w:tcPr>
          <w:p>
            <w:pPr>
              <w:spacing w:after="80" w:before="60" w:line="245" w:lineRule="auto"/>
              <w:jc w:val="left"/>
            </w:pPr>
            <w:r>
              <w:rPr>
                <w:rFonts w:ascii="Times New Roman" w:hAnsi="Times New Roman"/>
                <w:b w:val="0"/>
                <w:sz w:val="19"/>
              </w:rPr>
              <w:t>verificacion/</w:t>
            </w:r>
          </w:p>
        </w:tc>
        <w:tc>
          <w:tcPr>
            <w:tcW w:type="dxa" w:w="6552"/>
          </w:tcPr>
          <w:p>
            <w:pPr>
              <w:spacing w:after="80" w:before="60" w:line="245" w:lineRule="auto"/>
              <w:jc w:val="left"/>
            </w:pPr>
            <w:r>
              <w:rPr>
                <w:rFonts w:ascii="Times New Roman" w:hAnsi="Times New Roman"/>
                <w:b w:val="0"/>
                <w:sz w:val="19"/>
              </w:rPr>
              <w:t>Resultados de SQL y comprobaciones de consistencia.</w:t>
            </w:r>
          </w:p>
        </w:tc>
      </w:tr>
    </w:tbl>
    <w:p>
      <w:r>
        <w:t>La documentación representa el diseño consolidado del equipo. La entrega al repositorio y los commits deben verificarse en GitHub después de cargar los archivos; este informe no certifica una publicación ni una autoría que no se haya realizado.</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RutaAlerta · Grupo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RutaAlerta casos de uso y modelo de datos</dc:title>
  <dc:subject>Entrega de diseño Capstone</dc:subject>
  <dc:creator>Grupo 7</dc:creator>
  <cp:keywords/>
  <dc:description>generated by python-docx</dc:description>
  <cp:lastModifiedBy/>
  <cp:revision>1</cp:revision>
  <dcterms:created xsi:type="dcterms:W3CDTF">2013-12-23T23:15:00Z</dcterms:created>
  <dcterms:modified xsi:type="dcterms:W3CDTF">2013-12-23T23:15:00Z</dcterms:modified>
  <cp:category/>
</cp:coreProperties>
</file>