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B29CFD" w14:textId="12228CA9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esta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sección</w:t>
            </w: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deberá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realizar un resumen de los avances que has realizado en tu proyecto APT.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Relata </w:t>
            </w:r>
            <w:r w:rsidR="00FD514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brevemente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</w:t>
            </w:r>
            <w:r w:rsidR="00FD514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actividades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 has llevado a cabo y qué objetivos específicos has cumplido hasta el minuto y de qué manera.</w:t>
            </w:r>
          </w:p>
          <w:p w14:paraId="6C70E0C9" w14:textId="2A0F6A62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 que hayas realizado ajustes a los objetivos o metodología, debes incluir dichos apartados nuevamente en este informe, señalando cuáles son dichos ajustes.</w:t>
            </w:r>
          </w:p>
          <w:p>
            <w:pPr>
              <w:spacing w:after="120" w:before="0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Proyecto:</w:t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 xml:space="preserve"> RutaAlerta, plataforma colaborativa para informar robos de vehículos, aportar avistamientos revisados y dar seguimiento trazable a cada caso (app móvil para la ciudadanía y panel web para operadores autorizados). Grupo 7: Jorge Ceballos, Juan Marinan y Alan Bravo.</w:t>
            </w:r>
          </w:p>
          <w:p>
            <w:pPr>
              <w:spacing w:after="120" w:before="0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Contexto del avance.</w:t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 xml:space="preserve"> El curso comenzó el 13/08/2026. La propuesta de RutaAlerta (v3.0) se formalizó el 23/09/2026, en la semana 6, dentro del mismo plazo de 14 semanas. Este informe se emite al cierre de la semana 9 (14/10/2026).</w:t>
            </w:r>
          </w:p>
          <w:p>
            <w:pPr>
              <w:spacing w:after="120" w:before="0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Actividades realizadas (con evidencia):</w:t>
            </w:r>
          </w:p>
          <w:p>
            <w:pPr>
              <w:numPr>
                <w:ilvl w:val="0"/>
                <w:numId w:val="2"/>
              </w:numPr>
              <w:spacing w:after="4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>Propuesta v3.0 (23/09) y libro del proyecto v4.1 (26/09): problema, alcance, actores, seis objetivos de resultado, 31 requisitos funcionales, 12 no funcionales, arquitectura, privacidad, plan de validación y riesgos.</w:t>
            </w:r>
          </w:p>
          <w:p>
            <w:pPr>
              <w:numPr>
                <w:ilvl w:val="0"/>
                <w:numId w:val="2"/>
              </w:numPr>
              <w:spacing w:after="4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>Decisión de base de datos: PostgreSQL con PostGIS en reemplazo de MySQL, por el peso de las consultas espaciales (libro v4.1).</w:t>
            </w:r>
          </w:p>
          <w:p>
            <w:pPr>
              <w:numPr>
                <w:ilvl w:val="0"/>
                <w:numId w:val="2"/>
              </w:numPr>
              <w:spacing w:after="4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>Entrega de diseño (29/09): 31 casos de uso con diagrama UML general y cinco vistas, modelo conceptual y físico de 56 tablas, diccionario de 549 columnas, 110 claves foráneas y matriz de trazabilidad CU–OE–datos.</w:t>
            </w:r>
          </w:p>
          <w:p>
            <w:pPr>
              <w:numPr>
                <w:ilvl w:val="0"/>
                <w:numId w:val="2"/>
              </w:numPr>
              <w:spacing w:after="4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>Script PostgreSQL/PostGIS con vistas, funciones, datos sintéticos y 36 pruebas de integridad, re-ejecutado el 14/10/2026 con 36/36 resultados correctos en ambas rutas de instalación.</w:t>
            </w:r>
          </w:p>
          <w:p>
            <w:pPr>
              <w:numPr>
                <w:ilvl w:val="0"/>
                <w:numId w:val="2"/>
              </w:numPr>
              <w:spacing w:after="4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>Documentación de Fase 2 en las plantillas del curso: visión y roles, épicas, 33 historias con criterios de aceptación, Product Backlog estimado, Sprint Backlog del Sprint 1, DAS, plan de pruebas y manual técnico.</w:t>
            </w:r>
          </w:p>
          <w:p>
            <w:pPr>
              <w:spacing w:after="120" w:before="0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Objetivos específicos cumplidos.</w:t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 xml:space="preserve"> Ninguno todavía: OE1 a OE6 son resultados de uso que se medirán en el piloto de las semanas 13 y 14. El avance logrado son los habilitadores de diseño y datos que permiten construir y medir esos resultados.</w:t>
            </w:r>
          </w:p>
          <w:p>
            <w:pPr>
              <w:spacing w:after="120" w:before="0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Estado real de la aplicación.</w:t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 xml:space="preserve"> Al cierre de la semana 9 existe un incremento inicial de la API (FastAPI): registro e inicio de sesión, recuperación de acceso, reporte de incidente con folio idempotente y bandeja restringida por organización, con 10 pruebas automáticas aprobadas sobre el esquema real. Aún no existen la app Flutter ni el panel React; el plan del libro v4.1 esperaba un primer flujo desplegado en S8. Esta brecha se aborda en la sección 3.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  <w:p>
            <w:pPr>
              <w:spacing w:after="120" w:before="0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Ajuste:</w:t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 xml:space="preserve"> los objetivos se formulan como resultados medibles del uso de la plataforma, con meta y plazo, y no como tareas de desarrollo.</w:t>
            </w:r>
          </w:p>
          <w:p>
            <w:pPr>
              <w:spacing w:after="120" w:before="0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Objetivo general.</w:t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 xml:space="preserve"> Contribuir a una respuesta ciudadana e institucional más informada, oportuna y trazable frente a incidentes de robo vehicular, mediante una plataforma colaborativa de orientación territorial, gestión de antecedentes, apoyo al afectado y asistencia explicable al operador, evaluada en un piloto al término de las 14 semanas del curso.</w:t>
            </w:r>
          </w:p>
          <w:p>
            <w:pPr>
              <w:numPr>
                <w:ilvl w:val="0"/>
                <w:numId w:val="2"/>
              </w:numPr>
              <w:spacing w:after="40" w:before="0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OE1 Decisiones preventivas informadas.</w:t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 xml:space="preserve"> Lograr que, al finalizar la semana 14, al menos el 80 % de los participantes del piloto (cinco a diez) interprete correctamente los antecedentes territoriales y el fundamento de una alternativa de ruta, e identifique cuándo la información es insuficiente, en dos escenarios de evaluación sin ayuda del facilitador.</w:t>
            </w:r>
          </w:p>
          <w:p>
            <w:pPr>
              <w:numPr>
                <w:ilvl w:val="0"/>
                <w:numId w:val="2"/>
              </w:numPr>
              <w:spacing w:after="40" w:before="0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OE2 Coordinación más oportuna.</w:t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 xml:space="preserve"> Reducir en al menos un 20 % la mediana del tiempo que necesitan los evaluadores del rol operador para reunir y consultar los antecedentes correctos de un caso, respecto de un procedimiento de referencia con formularios y archivos separados, en pruebas comparativas con la plataforma desplegada durante las semanas 13 y 14.</w:t>
            </w:r>
          </w:p>
          <w:p>
            <w:pPr>
              <w:numPr>
                <w:ilvl w:val="0"/>
                <w:numId w:val="2"/>
              </w:numPr>
              <w:spacing w:after="40" w:before="0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OE3 Colaboración ciudadana útil y trazable.</w:t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 xml:space="preserve"> Conseguir que, durante el piloto de las semanas 13 y 14, al menos el 90 % de 20 ejercicios de avistamiento ciudadano autorizado produzca un antecedente útil para la revisión del operador, correctamente vinculado al caso y con su decisión de revisión disponible dentro de los cinco minutos siguientes al envío confirmado.</w:t>
            </w:r>
          </w:p>
          <w:p>
            <w:pPr>
              <w:numPr>
                <w:ilvl w:val="0"/>
                <w:numId w:val="2"/>
              </w:numPr>
              <w:spacing w:after="40" w:before="0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OE4 Autonomía en el seguimiento y apoyo.</w:t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 xml:space="preserve"> Lograr que, al finalizar la semana 14, al menos el 80 % de los participantes que representen a una persona afectada consulte sin ayuda el estado de su caso, identifique un siguiente paso y un canal de apoyo pertinente, y gestione el acceso de su contacto de confianza, completando el recorrido en un máximo de tres minutos.</w:t>
            </w:r>
          </w:p>
          <w:p>
            <w:pPr>
              <w:numPr>
                <w:ilvl w:val="0"/>
                <w:numId w:val="2"/>
              </w:numPr>
              <w:spacing w:after="40" w:before="0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OE5 Búsqueda de evidencia más eficiente.</w:t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 xml:space="preserve"> Reducir en al menos un 20 % la mediana del tiempo hasta localizar una observación correcta del vehículo, con el asistente frente a una búsqueda manual, en al menos 12 ensayos emparejados con dos o más evaluadores durante las semanas 13 y 14, sin aumentar la proporción de identificaciones erróneas aceptadas. (Propuesto en v4.1; requiere ratificación docente.)</w:t>
            </w:r>
          </w:p>
          <w:p>
            <w:pPr>
              <w:numPr>
                <w:ilvl w:val="0"/>
                <w:numId w:val="2"/>
              </w:numPr>
              <w:spacing w:after="40" w:before="0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OE6 Interpretación operativa de indicadores.</w:t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 xml:space="preserve"> Conseguir que, al finalizar la semana 14, al menos el 80 % de 12 tareas de análisis distribuidas entre dos o más evaluadores del rol operador se resuelva correctamente en un máximo de tres minutos por tarea, identificando período, denominador, procedencia y limitación del indicador consultado. (Propuesto en v4.1; requiere ratificación docente.)</w:t>
            </w:r>
          </w:p>
          <w:p>
            <w:pPr>
              <w:spacing w:after="120" w:before="0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Propuesta de ajuste para acordar con los docentes:</w:t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 xml:space="preserve"> priorizar OE2, OE3 y OE4 (núcleo del MVP); evaluar OE1 con alcance reducido (antecedentes territoriales con datos sintéticos y comparación simplificada); y no comprometer OE5 ni OE6 en este semestre salvo ratificación expresa.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  <w:p>
            <w:pPr>
              <w:spacing w:after="120" w:before="0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Ajuste:</w:t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 xml:space="preserve"> Scrum adaptado con sprints de una semana, formalizado desde el Sprint 1 (S10, 15/10/2026). Entre S7 y S9 el equipo trabajó por áreas de responsabilidad sin registro de eventos Scrum, por lo que no se documentan reuniones ni roles retroactivos.</w:t>
            </w:r>
          </w:p>
          <w:p>
            <w:pPr>
              <w:numPr>
                <w:ilvl w:val="0"/>
                <w:numId w:val="2"/>
              </w:numPr>
              <w:spacing w:after="4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>Roles acordados por el equipo (14/10/2026): Product Owner Jorge Ceballos; Scrum Master Alan Bravo; equipo de desarrollo los tres integrantes.</w:t>
            </w:r>
          </w:p>
          <w:p>
            <w:pPr>
              <w:numPr>
                <w:ilvl w:val="0"/>
                <w:numId w:val="2"/>
              </w:numPr>
              <w:spacing w:after="4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>Eventos: Sprint Planning (jueves), Daily (días hábiles), Sprint Review y Retrospectiva (miércoles de cierre).</w:t>
            </w:r>
          </w:p>
          <w:p>
            <w:pPr>
              <w:numPr>
                <w:ilvl w:val="0"/>
                <w:numId w:val="2"/>
              </w:numPr>
              <w:spacing w:after="4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>Artefactos: Product Backlog con puntos (Planning Poker, Fibonacci), Sprint Backlog en horas, burndown diario y Definition of Done v1.0.</w:t>
            </w:r>
          </w:p>
          <w:p>
            <w:pPr>
              <w:numPr>
                <w:ilvl w:val="0"/>
                <w:numId w:val="2"/>
              </w:numPr>
              <w:spacing w:after="4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>Plan: Sprint 1–3 desarrollo del MVP, Sprint 4 piloto y estabilización, Sprint 5 evaluación, cierre y defensa.</w:t>
            </w:r>
          </w:p>
          <w:p>
            <w:pPr>
              <w:numPr>
                <w:ilvl w:val="0"/>
                <w:numId w:val="2"/>
              </w:numPr>
              <w:spacing w:after="4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>Calidad: pull request con revisión cruzada, CI con pruebas, migraciones versionadas y 36 pruebas de integridad en cada cambio del modelo.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Describe la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presentarás en este informe de avance y justifica </w:t>
            </w:r>
            <w:r w:rsidR="00695E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 qué manera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permite(n)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cuenta del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</w:t>
            </w:r>
            <w:r w:rsidR="009E52DF"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proyecto.</w:t>
            </w:r>
          </w:p>
          <w:p w14:paraId="7B20E46B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caso de ser pertinente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explica cómo resguardaste la calidad de tu Proyecto APT a partir de aspectos propios de tu disciplina (correcta aplicación de metodologías, actividades, herramientas, recursos propios, etc.).</w:t>
            </w:r>
          </w:p>
          <w:p w14:paraId="51E5B895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2C5C8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este apartado adjuntar la(s) evidencia(s) seleccionada(s) para ser evaluada por el docente.</w:t>
            </w:r>
          </w:p>
          <w:p>
            <w:pPr>
              <w:keepNext/>
              <w:spacing w:after="0" w:before="0"/>
              <w:jc w:val="both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W w:w="7938" w:type="dxa"/>
              <w:tblLayout w:type="fixed"/>
            </w:tblPr>
            <w:tblGrid>
              <w:gridCol w:w="2268"/>
              <w:gridCol w:w="3402"/>
              <w:gridCol w:w="2268"/>
            </w:tblGrid>
            <w:tr>
              <w:trPr>
                <w:tblHeader w:val="true"/>
              </w:trPr>
              <w:tc>
                <w:tcPr>
                  <w:tcW w:type="dxa" w:w="2268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shd w:val="clear" w:color="auto" w:fill="D9E2F3"/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b/>
                      <w:i w:val="0"/>
                      <w:color w:val="000000"/>
                      <w:sz w:val="17"/>
                    </w:rPr>
                    <w:t>Evidencia</w:t>
                  </w:r>
                </w:p>
              </w:tc>
              <w:tc>
                <w:tcPr>
                  <w:tcW w:type="dxa" w:w="3402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shd w:val="clear" w:color="auto" w:fill="D9E2F3"/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b/>
                      <w:i w:val="0"/>
                      <w:color w:val="000000"/>
                      <w:sz w:val="17"/>
                    </w:rPr>
                    <w:t>Qué demuestra</w:t>
                  </w:r>
                </w:p>
              </w:tc>
              <w:tc>
                <w:tcPr>
                  <w:tcW w:type="dxa" w:w="2268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shd w:val="clear" w:color="auto" w:fill="D9E2F3"/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b/>
                      <w:i w:val="0"/>
                      <w:color w:val="000000"/>
                      <w:sz w:val="17"/>
                    </w:rPr>
                    <w:t>Ubicación en el repositorio</w:t>
                  </w:r>
                </w:p>
              </w:tc>
            </w:tr>
            <w:tr>
              <w:tc>
                <w:tcPr>
                  <w:tcW w:type="dxa" w:w="2268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Libro del proyecto v4.1</w:t>
                  </w:r>
                </w:p>
              </w:tc>
              <w:tc>
                <w:tcPr>
                  <w:tcW w:type="dxa" w:w="3402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Definición del problema, objetivos medibles, requisitos y arquitectura.</w:t>
                  </w:r>
                </w:p>
              </w:tc>
              <w:tc>
                <w:tcPr>
                  <w:tcW w:type="dxa" w:w="2268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fase 2/EVIDENCIAS PROYECTO/Evidencias de documentación/</w:t>
                  </w:r>
                </w:p>
              </w:tc>
            </w:tr>
            <w:tr>
              <w:tc>
                <w:tcPr>
                  <w:tcW w:type="dxa" w:w="2268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Diagramas UML, MER y modelo físico; catálogo de CU; diccionario</w:t>
                  </w:r>
                </w:p>
              </w:tc>
              <w:tc>
                <w:tcPr>
                  <w:tcW w:type="dxa" w:w="3402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Diseño trazable de 31 CU y 56 tablas.</w:t>
                  </w:r>
                </w:p>
              </w:tc>
              <w:tc>
                <w:tcPr>
                  <w:tcW w:type="dxa" w:w="2268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fase 2/EVIDENCIAS PROYECTO/Evidencias de sistema/Base de datos/</w:t>
                  </w:r>
                </w:p>
              </w:tc>
            </w:tr>
            <w:tr>
              <w:tc>
                <w:tcPr>
                  <w:tcW w:type="dxa" w:w="2268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Scripts SQL y resultados de verificación (36/36)</w:t>
                  </w:r>
                </w:p>
              </w:tc>
              <w:tc>
                <w:tcPr>
                  <w:tcW w:type="dxa" w:w="3402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Almacenamiento de datos implementado y probado (criterio 3).</w:t>
                  </w:r>
                </w:p>
              </w:tc>
              <w:tc>
                <w:tcPr>
                  <w:tcW w:type="dxa" w:w="2268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fase 2/EVIDENCIAS PROYECTO/Evidencias de sistema/Base de datos/</w:t>
                  </w:r>
                </w:p>
              </w:tc>
            </w:tr>
            <w:tr>
              <w:tc>
                <w:tcPr>
                  <w:tcW w:type="dxa" w:w="2268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Documentos 01–10 y planillas 03–07</w:t>
                  </w:r>
                </w:p>
              </w:tc>
              <w:tc>
                <w:tcPr>
                  <w:tcW w:type="dxa" w:w="3402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Aplicación de Scrum: visión, backlog, sprint, DoD y registro (criterio 2).</w:t>
                  </w:r>
                </w:p>
              </w:tc>
              <w:tc>
                <w:tcPr>
                  <w:tcW w:type="dxa" w:w="2268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fase 2/EVIDENCIAS PROYECTO/Evidencias de documentación/</w:t>
                  </w:r>
                </w:p>
              </w:tc>
            </w:tr>
            <w:tr>
              <w:tc>
                <w:tcPr>
                  <w:tcW w:type="dxa" w:w="2268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C1 DAS, C2 Plan de pruebas, C3 Manual</w:t>
                  </w:r>
                </w:p>
              </w:tc>
              <w:tc>
                <w:tcPr>
                  <w:tcW w:type="dxa" w:w="3402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Documentación técnica con estándares de la disciplina (4+1, OWASP, WCAG, SemVer).</w:t>
                  </w:r>
                </w:p>
              </w:tc>
              <w:tc>
                <w:tcPr>
                  <w:tcW w:type="dxa" w:w="2268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fase 2/EVIDENCIAS PROYECTO/Evidencias de documentación/</w:t>
                  </w:r>
                </w:p>
              </w:tc>
            </w:tr>
            <w:tr>
              <w:tc>
                <w:tcPr>
                  <w:tcW w:type="dxa" w:w="2268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API FastAPI inicial y 10 pruebas pytest (10/10)</w:t>
                  </w:r>
                </w:p>
              </w:tc>
              <w:tc>
                <w:tcPr>
                  <w:tcW w:type="dxa" w:w="3402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Programación (criterio 3): reglas de negocio, seguridad e idempotencia probadas.</w:t>
                  </w:r>
                </w:p>
              </w:tc>
              <w:tc>
                <w:tcPr>
                  <w:tcW w:type="dxa" w:w="2268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fase 2/EVIDENCIAS PROYECTO/Evidencias de sistema/Aplicación/</w:t>
                  </w:r>
                </w:p>
              </w:tc>
            </w:tr>
            <w:tr>
              <w:tc>
                <w:tcPr>
                  <w:tcW w:type="dxa" w:w="2268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App Flutter y panel React</w:t>
                  </w:r>
                </w:p>
              </w:tc>
              <w:tc>
                <w:tcPr>
                  <w:tcW w:type="dxa" w:w="3402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Programación de interfaces.</w:t>
                  </w:r>
                </w:p>
              </w:tc>
              <w:tc>
                <w:tcPr>
                  <w:tcW w:type="dxa" w:w="2268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Pendiente (Sprints 1–3)</w:t>
                  </w:r>
                </w:p>
              </w:tc>
            </w:tr>
          </w:tbl>
          <w:p>
            <w:pPr>
              <w:spacing w:after="80" w:before="0"/>
              <w:jc w:val="both"/>
            </w:pPr>
          </w:p>
          <w:p>
            <w:pPr>
              <w:spacing w:after="120" w:before="0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Resguardo de la calidad.</w:t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 xml:space="preserve"> Trazabilidad OE → RF → CU → HU → CP con identificadores únicos; restricciones de integridad probadas automáticamente; verificación de integridad del paquete (106/106 huellas SHA-256); distinción explícita entre diseñado, implementado y pendiente; y criterios de aceptación verificables por historia.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que se relacionan con las diferentes actividades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requeridas para el desarrollo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 proyecto APT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desarrollar el proyecto APT. 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definidas.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duración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actividad.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 cada actividad.</w:t>
            </w:r>
          </w:p>
          <w:p w14:paraId="7CBF6E36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6D3B922B" w14:textId="77777777" w:rsidR="00FD5149" w:rsidRPr="00CA29F2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2163602D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ñala los ajustes o reformulaciones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C2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A1 Cambio de proyecto y propuesta v3.0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Reuniones del equipo, plantillas del curso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S6 · 1 semana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Jorge Ceballos, Juan Marinan, Alan Bravo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Facilitó: tema aprobado por los docentes. Dificultó: el plazo no se reinicia.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Reemplaza el proyecto de Fase 1.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C2, C4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A2 Libro v4.1: alcance, objetivos, requisitos y arquitectura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Documento maestro, fuentes técnicas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S7 · 1 semana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Jorge Ceballos, Juan Marinan, Alan Bravo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Amplió el alcance con cámaras e IA.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OE5, OE6 y CU26–CU31 quedan sujetos a ratificación.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C3, C1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A3 Modelo PostgreSQL/PostGIS y pruebas de integridad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PostgreSQL, PostGIS, PGlite, Oracle Data Modeler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S7–S8 · 2 semanas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Alan Bravo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Sin servidor nativo ni Docker en la verificación.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Ajustada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Verificado en PGlite; ejecución nativa pasa a HT01 (Sprint 1).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C2, C4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A4 Casos de uso, UML y trazabilidad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Diagramas, catálogo, matriz CSV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S7–S8 · 2 semanas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Jorge Ceballos, Juan Marinan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Instrucciones docentes sobre CU, MER y trazabilidad.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—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C1, C4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A5 Pruebas tempranas: permisos móviles, motor de rutas, cámara y costo de IA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Android/iOS, Valhalla, cámara autorizada, Azure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S7 · 1 semana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Juan Marinan, Alan Bravo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Sin Mac confirmado para iOS ni cámara autorizada.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No iniciado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Permisos móviles pasan a Sprint 1; rutas, cámara e IA se difieren.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C3, C4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A6 Cuentas, vehículos, casos y evidencia en entorno desplegado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FastAPI, Flutter, PostgreSQL, Azure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S8 · 1 semana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Alan Bravo, Juan Marinan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Tiempo dedicado a rediseño y documentación.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En curso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API inicial lista el 14/10 (HU01, HU03, 10 pruebas); app y despliegue en Sprint 1; HU02 y HU04 en Sprint 2.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C4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A7 Panel, revisión, asignación y eventos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React, FastAPI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S9 · 1 semana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Jorge Ceballos, Alan Bravo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Depende de A6.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Con retraso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Reprogramado: Sprint 1 (HU13), Sprint 2 (HU14, HU17) y Sprint 4 (HU15, HU16).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C2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A8 Formalización Scrum y documentación de Fase 2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Plantillas 01–10 y C1–C6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S9 · 1 semana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Jorge Ceballos, Juan Marinan, Alan Bravo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Plantillas del curso disponibles.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En curso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Nueva actividad.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C4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A9 Solicitudes, avistamientos, contacto de confianza y apoyo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Flutter, React, FastAPI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S10 · 1 semana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Juan Marinan, Jorge Ceballos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—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No iniciado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Reprogramado: Sprint 3 (HU11, HU05, HU06, HU07) y Sprint 4 (HU22).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C3, C4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A10 Mapa, rutas y métricas; corredores y recomendaciones de cámara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PostGIS, Valhalla, React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S11 · 1 semana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Jorge Ceballos, Alan Bravo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Requiere datos territoriales y motor de rutas.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No iniciado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Propuesta: OE1 con alcance reducido; ampliación de cámaras diferida.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C1, C4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A11 Avisos de trayecto, copiloto, permisos, reconexión y restauración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Flutter, FastAPI, pruebas E05/E06/E13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S12 · 1 semana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Juan Marinan, Alan Bravo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Copiloto depende de ratificación de EP08.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No iniciado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Se mantienen pruebas de permisos, reconexión y restauración (CP48–CP50); copiloto diferido.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C1, C2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A12 Piloto desplegado y mediciones iniciales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Azure, participantes ficticios, protocolo E01–E04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S13 · 1 semana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Jorge Ceballos, Juan Marinan, Alan Bravo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Requiere versión desplegada antes de S13 (HT02).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No iniciado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Sprint 4.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C1, C2, C5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A13 Evaluación final, documentación y defensa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Resultados, presentación, repositorio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S14 · 1 semana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Jorge Ceballos, Juan Marinan, Alan Bravo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—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No iniciado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16"/>
                <w:szCs w:val="20"/>
                <w:lang w:eastAsia="es-CL"/>
              </w:rPr>
              <w:t>Sprint 5.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>
            <w:pPr>
              <w:spacing w:after="120" w:before="0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Facilitadores:</w:t>
            </w:r>
          </w:p>
          <w:p>
            <w:pPr>
              <w:numPr>
                <w:ilvl w:val="0"/>
                <w:numId w:val="2"/>
              </w:numPr>
              <w:spacing w:after="4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>Un diseño consolidado y coherente (libro v4.1 y entrega del 29/09) que define qué construir, cómo verificarlo y qué no prometer.</w:t>
            </w:r>
          </w:p>
          <w:p>
            <w:pPr>
              <w:numPr>
                <w:ilvl w:val="0"/>
                <w:numId w:val="2"/>
              </w:numPr>
              <w:spacing w:after="4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>Base de datos ya implementada y probada: el desarrollo de la API puede apoyarse en restricciones, vistas y datos de prueba existentes.</w:t>
            </w:r>
          </w:p>
          <w:p>
            <w:pPr>
              <w:numPr>
                <w:ilvl w:val="0"/>
                <w:numId w:val="2"/>
              </w:numPr>
              <w:spacing w:after="4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>Objetivos medibles con protocolo de medición definido (E01–E13).</w:t>
            </w:r>
          </w:p>
          <w:p>
            <w:pPr>
              <w:numPr>
                <w:ilvl w:val="0"/>
                <w:numId w:val="2"/>
              </w:numPr>
              <w:spacing w:after="4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>Repositorio y plantillas del curso disponibles; conocimientos previos del equipo en Flutter, FastAPI y PostgreSQL declarados en Fase 1.</w:t>
            </w:r>
          </w:p>
          <w:p>
            <w:pPr>
              <w:spacing w:after="120" w:before="0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Dificultades y acciones:</w:t>
            </w:r>
          </w:p>
          <w:p>
            <w:pPr>
              <w:keepNext/>
              <w:spacing w:after="0" w:before="0"/>
              <w:jc w:val="both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W w:w="8845" w:type="dxa"/>
              <w:tblLayout w:type="fixed"/>
            </w:tblPr>
            <w:tblGrid>
              <w:gridCol w:w="4082"/>
              <w:gridCol w:w="4762"/>
            </w:tblGrid>
            <w:tr>
              <w:trPr>
                <w:tblHeader w:val="true"/>
              </w:trPr>
              <w:tc>
                <w:tcPr>
                  <w:tcW w:type="dxa" w:w="4082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shd w:val="clear" w:color="auto" w:fill="D9E2F3"/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b/>
                      <w:i w:val="0"/>
                      <w:color w:val="000000"/>
                      <w:sz w:val="17"/>
                    </w:rPr>
                    <w:t>Dificultad</w:t>
                  </w:r>
                </w:p>
              </w:tc>
              <w:tc>
                <w:tcPr>
                  <w:tcW w:type="dxa" w:w="4762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  <w:shd w:val="clear" w:color="auto" w:fill="D9E2F3"/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b/>
                      <w:i w:val="0"/>
                      <w:color w:val="000000"/>
                      <w:sz w:val="17"/>
                    </w:rPr>
                    <w:t>Acción tomada o propuesta</w:t>
                  </w:r>
                </w:p>
              </w:tc>
            </w:tr>
            <w:tr>
              <w:tc>
                <w:tcPr>
                  <w:tcW w:type="dxa" w:w="4082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Cambio de proyecto en la semana 6 sin reinicio del plazo.</w:t>
                  </w:r>
                </w:p>
              </w:tc>
              <w:tc>
                <w:tcPr>
                  <w:tcW w:type="dxa" w:w="4762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Replanificación en sprints semanales S10–S14 y priorización MoSCoW del backlog.</w:t>
                  </w:r>
                </w:p>
              </w:tc>
            </w:tr>
            <w:tr>
              <w:tc>
                <w:tcPr>
                  <w:tcW w:type="dxa" w:w="4082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Alcance amplio (31 CU, cámaras, IA) frente a cinco semanas restantes.</w:t>
                  </w:r>
                </w:p>
              </w:tc>
              <w:tc>
                <w:tcPr>
                  <w:tcW w:type="dxa" w:w="4762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Release MVP de 88 puntos; EP08 y OE5/OE6 sujetos a acuerdo docente.</w:t>
                  </w:r>
                </w:p>
              </w:tc>
            </w:tr>
            <w:tr>
              <w:tc>
                <w:tcPr>
                  <w:tcW w:type="dxa" w:w="4082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Desarrollo iniciado recién al cierre de la semana 9 (sólo API inicial).</w:t>
                  </w:r>
                </w:p>
              </w:tc>
              <w:tc>
                <w:tcPr>
                  <w:tcW w:type="dxa" w:w="4762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Sprint 1 centrado en app, panel y despliegue del primer recorrido; seguimiento con burndown.</w:t>
                  </w:r>
                </w:p>
              </w:tc>
            </w:tr>
            <w:tr>
              <w:tc>
                <w:tcPr>
                  <w:tcW w:type="dxa" w:w="4082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Aportes concentrados en una cuenta del repositorio.</w:t>
                  </w:r>
                </w:p>
              </w:tc>
              <w:tc>
                <w:tcPr>
                  <w:tcW w:type="dxa" w:w="4762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Cada integrante sube su propio trabajo por rama y pull request desde su cuenta.</w:t>
                  </w:r>
                </w:p>
              </w:tc>
            </w:tr>
            <w:tr>
              <w:tc>
                <w:tcPr>
                  <w:tcW w:type="dxa" w:w="4082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Capacidad semanal no registrada; recursos iOS y Azure sin confirmar.</w:t>
                  </w:r>
                </w:p>
              </w:tc>
              <w:tc>
                <w:tcPr>
                  <w:tcW w:type="dxa" w:w="4762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Declarar horas por integrante en el Sprint Planning; confirmar Mac/iPhone y cuota de Azure en el Sprint 1.</w:t>
                  </w:r>
                </w:p>
              </w:tc>
            </w:tr>
            <w:tr>
              <w:tc>
                <w:tcPr>
                  <w:tcW w:type="dxa" w:w="4082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Sin convenio con municipalidades ni cámaras autorizadas.</w:t>
                  </w:r>
                </w:p>
              </w:tc>
              <w:tc>
                <w:tcPr>
                  <w:tcW w:type="dxa" w:w="4762"/>
                  <w:tcBorders>
                    <w:top w:val="single" w:sz="4" w:color="8EAADB"/>
                    <w:left w:val="single" w:sz="4" w:color="8EAADB"/>
                    <w:bottom w:val="single" w:sz="4" w:color="8EAADB"/>
                    <w:right w:val="single" w:sz="4" w:color="8EAADB"/>
                  </w:tcBorders>
                  <w:tcMar>
                    <w:top w:w="50" w:type="dxa"/>
                    <w:left w:w="90" w:type="dxa"/>
                    <w:bottom w:w="50" w:type="dxa"/>
                    <w:right w:w="90" w:type="dxa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Times New Roman" w:hAnsi="Times New Roman" w:cs="Times New Roman" w:eastAsia="Times New Roman"/>
                      <w:i w:val="0"/>
                      <w:color w:val="000000"/>
                      <w:sz w:val="17"/>
                    </w:rPr>
                    <w:t>Piloto con organizaciones ficticias; la integración real queda como evolución.</w:t>
                  </w:r>
                </w:p>
              </w:tc>
            </w:tr>
          </w:tbl>
          <w:p>
            <w:pPr>
              <w:spacing w:after="80" w:before="0"/>
              <w:jc w:val="both"/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>
            <w:pPr>
              <w:numPr>
                <w:ilvl w:val="0"/>
                <w:numId w:val="2"/>
              </w:numPr>
              <w:spacing w:after="40" w:before="0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Plan de trabajo ajustado a las 14 semanas reales del curso</w:t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 xml:space="preserve"> (la planificación de la Fase 1 consideraba 18 semanas).</w:t>
            </w:r>
          </w:p>
          <w:p>
            <w:pPr>
              <w:numPr>
                <w:ilvl w:val="0"/>
                <w:numId w:val="2"/>
              </w:numPr>
              <w:spacing w:after="40" w:before="0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A3 ajustada:</w:t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 xml:space="preserve"> la verificación del modelo se hizo en PGlite; la ejecución en un servidor nativo se incorpora a HT01 para no bloquear el desarrollo.</w:t>
            </w:r>
          </w:p>
          <w:p>
            <w:pPr>
              <w:numPr>
                <w:ilvl w:val="0"/>
                <w:numId w:val="2"/>
              </w:numPr>
              <w:spacing w:after="40" w:before="0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A5, A10 y A11 ajustadas (propuesta):</w:t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 xml:space="preserve"> se difieren el conector de cámaras, los recorridos posibles, la comparación visual y el copiloto (EP08), porque dependen de recursos externos y no caben en la capacidad estimada tras asegurar el MVP. Se conservan las pruebas de permisos, reconexión y restauración.</w:t>
            </w:r>
          </w:p>
          <w:p>
            <w:pPr>
              <w:numPr>
                <w:ilvl w:val="0"/>
                <w:numId w:val="2"/>
              </w:numPr>
              <w:spacing w:after="40" w:before="0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Nueva actividad A8:</w:t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 xml:space="preserve"> formalización de Scrum y documentación de Fase 2, necesaria para planificar y medir el avance semanal.</w:t>
            </w:r>
          </w:p>
          <w:p>
            <w:pPr>
              <w:numPr>
                <w:ilvl w:val="0"/>
                <w:numId w:val="2"/>
              </w:numPr>
              <w:spacing w:after="40" w:before="0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Justificación:</w:t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 xml:space="preserve"> el libro v4.1 establece que se entrega primero el flujo persistente y que toda reducción de alcance se acuerda con los docentes; estos ajustes se presentan para esa decisión y no se consideran aprobados.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>
            <w:pPr>
              <w:spacing w:after="120" w:before="0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Retrasadas:</w:t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 xml:space="preserve"> A6 (cuentas, vehículos, casos y evidencia desplegados) y A7 (panel y revisión). </w:t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Motivos:</w:t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 xml:space="preserve"> el cambio de proyecto concentró el trabajo de S7–S9 en rediseñar alcance, objetivos y modelo de datos; la programación comenzó al cierre de S9 con una API inicial. </w:t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No iniciadas:</w:t>
            </w: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 xml:space="preserve"> A5 y A9–A13, según su calendario.</w:t>
            </w:r>
          </w:p>
          <w:p>
            <w:pPr>
              <w:spacing w:after="120" w:before="0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Estrategias:</w:t>
            </w:r>
          </w:p>
          <w:p>
            <w:pPr>
              <w:numPr>
                <w:ilvl w:val="0"/>
                <w:numId w:val="3"/>
              </w:numPr>
              <w:spacing w:after="4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>Sprint 1 (15–21/10): base técnica reproducible, cuenta, reporte con folio y bandeja (26 puntos, 46 h estimadas).</w:t>
            </w:r>
          </w:p>
          <w:p>
            <w:pPr>
              <w:numPr>
                <w:ilvl w:val="0"/>
                <w:numId w:val="3"/>
              </w:numPr>
              <w:spacing w:after="4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>Sprints 2 y 3: vehículo, evidencia, revisión, solicitudes, avistamientos, seguimiento, contacto de confianza y despliegue del piloto antes de S13.</w:t>
            </w:r>
          </w:p>
          <w:p>
            <w:pPr>
              <w:numPr>
                <w:ilvl w:val="0"/>
                <w:numId w:val="3"/>
              </w:numPr>
              <w:spacing w:after="4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>Medir la velocidad real al cerrar cada sprint y reordenar el backlog; si el Sprint 1 no alcanza 26 puntos, reducir el alcance del Sprint 3 antes que el piloto.</w:t>
            </w:r>
          </w:p>
          <w:p>
            <w:pPr>
              <w:numPr>
                <w:ilvl w:val="0"/>
                <w:numId w:val="3"/>
              </w:numPr>
              <w:spacing w:after="40" w:before="0"/>
              <w:jc w:val="both"/>
            </w:pPr>
            <w:r>
              <w:rPr>
                <w:rFonts w:ascii="Times New Roman" w:hAnsi="Times New Roman" w:cs="Times New Roman" w:eastAsia="Times New Roman"/>
                <w:i w:val="0"/>
                <w:color w:val="000000"/>
                <w:sz w:val="20"/>
              </w:rPr>
              <w:t>Evidencia individual: cada integrante realiza y sube sus propios commits por historia, con revisión cruzada.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360" w:hanging="284"/>
      </w:pPr>
      <w:rPr>
        <w:rFonts w:ascii="Times New Roman" w:hAnsi="Times New Roman" w:cs="Times New Roman"/>
      </w:rPr>
    </w:lvl>
    <w:lvl w:ilvl="1">
      <w:start w:val="1"/>
      <w:numFmt w:val="bullet"/>
      <w:lvlText w:val="–"/>
      <w:lvlJc w:val="left"/>
      <w:pPr>
        <w:ind w:left="720" w:hanging="284"/>
      </w:pPr>
      <w:rPr>
        <w:rFonts w:ascii="Times New Roman" w:hAnsi="Times New Roman" w:cs="Times New Roman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60" w:hanging="284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720" w:hanging="284"/>
      </w:pPr>
      <w:rPr>
        <w:rFonts w:ascii="Times New Roman" w:hAnsi="Times New Roman" w:cs="Times New Roman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