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SynQ</w:t>
      </w:r>
      <w:r>
        <w:t xml:space="preserve"> </w:t>
      </w:r>
      <w:r>
        <w:t xml:space="preserve">Language</w:t>
      </w:r>
      <w:r>
        <w:t xml:space="preserve"> </w:t>
      </w:r>
      <w:r>
        <w:t xml:space="preserve">and</w:t>
      </w:r>
      <w:r>
        <w:t xml:space="preserve"> </w:t>
      </w:r>
      <w:r>
        <w:t xml:space="preserve">AI-Powered</w:t>
      </w:r>
      <w:r>
        <w:t xml:space="preserve"> </w:t>
      </w:r>
      <w:r>
        <w:t xml:space="preserve">Virtual</w:t>
      </w:r>
      <w:r>
        <w:t xml:space="preserve"> </w:t>
      </w:r>
      <w:r>
        <w:t xml:space="preserve">Machine</w:t>
      </w:r>
      <w:r>
        <w:t xml:space="preserve"> </w:t>
      </w:r>
      <w:r>
        <w:t xml:space="preserve">(AIVM)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7.0</w:t>
      </w:r>
      <w:r>
        <w:t xml:space="preserve"> </w:t>
      </w:r>
      <w:r>
        <w:t xml:space="preserve">—</w:t>
      </w:r>
      <w:r>
        <w:t xml:space="preserve"> </w:t>
      </w:r>
      <w:r>
        <w:t xml:space="preserve">Security,</w:t>
      </w:r>
      <w:r>
        <w:t xml:space="preserve"> </w:t>
      </w:r>
      <w:r>
        <w:t xml:space="preserve">Authority,</w:t>
      </w:r>
      <w:r>
        <w:t xml:space="preserve"> </w:t>
      </w:r>
      <w:r>
        <w:t xml:space="preserve">and</w:t>
      </w:r>
      <w:r>
        <w:t xml:space="preserve"> </w:t>
      </w:r>
      <w:r>
        <w:t xml:space="preserve">Intelligence-Layer</w:t>
      </w:r>
      <w:r>
        <w:t xml:space="preserve"> </w:t>
      </w:r>
      <w:r>
        <w:t xml:space="preserve">Aligned</w:t>
      </w:r>
      <w:r>
        <w:t xml:space="preserve"> </w:t>
      </w:r>
      <w:r>
        <w:t xml:space="preserve">Edition</w:t>
      </w:r>
    </w:p>
    <w:p>
      <w:pPr>
        <w:pStyle w:val="Author"/>
      </w:pPr>
      <w:r>
        <w:t xml:space="preserve">Synergy</w:t>
      </w:r>
      <w:r>
        <w:t xml:space="preserve"> </w:t>
      </w:r>
      <w:r>
        <w:t xml:space="preserve">Network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Architecture-aligned technical specification</w:t>
      </w:r>
      <w:r>
        <w:br/>
      </w:r>
      <w:r>
        <w:rPr>
          <w:b/>
          <w:bCs/>
        </w:rPr>
        <w:t xml:space="preserve">Intended use:</w:t>
      </w:r>
      <w:r>
        <w:t xml:space="preserve"> </w:t>
      </w:r>
      <w:r>
        <w:t xml:space="preserve">Language implementation, compiler and virtual-machine development, AI workload integration, contract development, formal verification, security review, node integration, governance reference, and interoperability design</w:t>
      </w:r>
      <w:r>
        <w:br/>
      </w:r>
      <w:r>
        <w:rPr>
          <w:b/>
          <w:bCs/>
        </w:rPr>
        <w:t xml:space="preserve">Normative posture:</w:t>
      </w:r>
      <w:r>
        <w:t xml:space="preserve"> </w:t>
      </w:r>
      <w:r>
        <w:t xml:space="preserve">Requirements using</w:t>
      </w:r>
      <w:r>
        <w:t xml:space="preserve"> </w:t>
      </w:r>
      <w:r>
        <w:rPr>
          <w:b/>
          <w:bCs/>
        </w:rPr>
        <w:t xml:space="preserve">MUST</w:t>
      </w:r>
      <w:r>
        <w:t xml:space="preserve">,</w:t>
      </w:r>
      <w:r>
        <w:t xml:space="preserve"> </w:t>
      </w:r>
      <w:r>
        <w:rPr>
          <w:b/>
          <w:bCs/>
        </w:rPr>
        <w:t xml:space="preserve">MUST NOT</w:t>
      </w:r>
      <w:r>
        <w:t xml:space="preserve">,</w:t>
      </w:r>
      <w:r>
        <w:t xml:space="preserve"> </w:t>
      </w:r>
      <w:r>
        <w:rPr>
          <w:b/>
          <w:bCs/>
        </w:rPr>
        <w:t xml:space="preserve">REQUIRED</w:t>
      </w:r>
      <w:r>
        <w:t xml:space="preserve">,</w:t>
      </w:r>
      <w:r>
        <w:t xml:space="preserve"> </w:t>
      </w:r>
      <w:r>
        <w:rPr>
          <w:b/>
          <w:bCs/>
        </w:rPr>
        <w:t xml:space="preserve">SHALL</w:t>
      </w:r>
      <w:r>
        <w:t xml:space="preserve">, or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are normative. Requirements using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are recommendations or implementation options.</w:t>
      </w:r>
      <w:r>
        <w:br/>
      </w:r>
      <w:r>
        <w:rPr>
          <w:b/>
          <w:bCs/>
        </w:rPr>
        <w:t xml:space="preserve">Primary alignment:</w:t>
      </w:r>
      <w:r>
        <w:t xml:space="preserve"> </w:t>
      </w:r>
      <w:r>
        <w:t xml:space="preserve">Synergy Network Security Implementation Specification v7; Synergy Network Node Technical Specification v2.0 AI &amp; Intelligence Layer; SynQ PPA and whitepaper execution model.</w:t>
      </w:r>
    </w:p>
    <w:p>
      <w:pPr>
        <w:pStyle w:val="BlockText"/>
      </w:pPr>
      <w:r>
        <w:rPr>
          <w:b/>
          <w:bCs/>
        </w:rPr>
        <w:t xml:space="preserve">CORE ARCHITECTURAL RULE</w:t>
      </w:r>
      <w:r>
        <w:br/>
      </w:r>
      <w:r>
        <w:t xml:space="preserve">AIVM is the full Synergy execution orchestration, isolation, AI-workload, and receipt-verification platform. SynQ-VM is the deterministic bytecode execution kernel within AIVM. AI output is never authority merely because a model produced it. An AI result can affect protocol state only through a defined trust mode, a cryptographically bound model/runtime/input/policy context, and the same UMA, Aegis, SynQ, PoSy, SCETP, SXCP, wallet-policy, and governance gates that apply to non-AI execution.</w:t>
      </w:r>
    </w:p>
    <w:p>
      <w:r>
        <w:br w:type="page"/>
      </w:r>
    </w:p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This specification follows the section structure of the expanded SynQ technical specification while replacing legacy caller, bridge, and hard-coded cryptography assumptions with the authority-aware, Aegis-governed, SCETP/SXCP-integrated, and AIVM-hosted execution model.</w:t>
      </w:r>
    </w:p>
    <w:bookmarkStart w:id="20" w:name="core-specification"/>
    <w:p>
      <w:pPr>
        <w:pStyle w:val="Heading2"/>
      </w:pPr>
      <w:r>
        <w:t xml:space="preserve">Core Specification</w:t>
      </w:r>
    </w:p>
    <w:p>
      <w:pPr>
        <w:pStyle w:val="FirstParagraph"/>
      </w:pPr>
      <w:r>
        <w:rPr>
          <w:b/>
          <w:bCs/>
        </w:rPr>
        <w:t xml:space="preserve">0. Introduction and Alignment</w:t>
      </w:r>
      <w:r>
        <w:br/>
      </w:r>
      <w:r>
        <w:t xml:space="preserve">0.1 Purpose · 0.2 Scope · 0.3 Audience · 0.4 Normative Relationships · 0.5 Notation and Conventions · 0.6 System Boundary Summary</w:t>
      </w:r>
    </w:p>
    <w:p>
      <w:pPr>
        <w:pStyle w:val="BodyText"/>
      </w:pPr>
      <w:r>
        <w:rPr>
          <w:b/>
          <w:bCs/>
        </w:rPr>
        <w:t xml:space="preserve">1. Language Goals and Non-Goals</w:t>
      </w:r>
      <w:r>
        <w:br/>
      </w:r>
      <w:r>
        <w:t xml:space="preserve">1.1 Purpose and Vision · 1.2 Design Goals · 1.3 Non-Goals · 1.4 Canonical Security Guarantees · 1.5 Relationship to the Synergy Stack · 1.6 Future Extensions</w:t>
      </w:r>
    </w:p>
    <w:p>
      <w:pPr>
        <w:pStyle w:val="BodyText"/>
      </w:pPr>
      <w:r>
        <w:rPr>
          <w:b/>
          <w:bCs/>
        </w:rPr>
        <w:t xml:space="preserve">2. Formal Semantics and Type System</w:t>
      </w:r>
      <w:r>
        <w:br/>
      </w:r>
      <w:r>
        <w:t xml:space="preserve">2.1 Source Structure · 2.2 Primitive Types · 2.3 Composite and Linear Types · 2.4 Authority and Capability Types · 2.5 Verified Facts · 2.6 Tensor and AI Types · 2.7 Functions and Attributes · 2.8 Effect System · 2.9 Control Flow and Termination · 2.10 Memory, Storage, and Transient State · 2.11 Error Semantics · 2.12 Formal Judgments · 2.13 Safety Properties</w:t>
      </w:r>
    </w:p>
    <w:p>
      <w:pPr>
        <w:pStyle w:val="BodyText"/>
      </w:pPr>
      <w:r>
        <w:rPr>
          <w:b/>
          <w:bCs/>
        </w:rPr>
        <w:t xml:space="preserve">3. Cryptography and Security Primitives</w:t>
      </w:r>
      <w:r>
        <w:br/>
      </w:r>
      <w:r>
        <w:t xml:space="preserve">3.1 Cryptographic Jurisdiction · 3.2 Approved Profile Families · 3.3 Cryptographic Types · 3.4 Verification Interfaces · 3.5 Private-Key Operations · 3.6 Domain Separation · 3.7 AI Artifact Cryptographic Binding · 3.8 Randomness · 3.9 Proof Systems · 3.10 Cryptographic Agility</w:t>
      </w:r>
    </w:p>
    <w:p>
      <w:pPr>
        <w:pStyle w:val="BodyText"/>
      </w:pPr>
      <w:r>
        <w:rPr>
          <w:b/>
          <w:bCs/>
        </w:rPr>
        <w:t xml:space="preserve">4. Concurrency, State, Atomicity, and Resource Semantics</w:t>
      </w:r>
      <w:r>
        <w:br/>
      </w:r>
      <w:r>
        <w:t xml:space="preserve">4.1 Canonical Serial Semantics · 4.2 Transaction State · 4.3 Journal and Savepoints · 4.4 Durable Commit · 4.5 Contract Calls · 4.6 Callback and Asynchronous Semantics · 4.7 AI Job State Machine · 4.8 Resource Model · 4.9 Resource Limits · 4.10 State Growth and Rent · 4.11 Simulation</w:t>
      </w:r>
    </w:p>
    <w:p>
      <w:pPr>
        <w:pStyle w:val="BodyText"/>
      </w:pPr>
      <w:r>
        <w:rPr>
          <w:b/>
          <w:bCs/>
        </w:rPr>
        <w:t xml:space="preserve">5. Interoperability, Identity, and System Contracts</w:t>
      </w:r>
      <w:r>
        <w:br/>
      </w:r>
      <w:r>
        <w:t xml:space="preserve">5.1 UMA Identity Integration · 5.2 SCETP Ingress · 5.3 SXCP Verified Facts · 5.4 Atomic Multi-Fact Logic · 5.5 External AI Results · 5.6 System Contracts · 5.7 Model Registry · 5.8 Dataset Provenance · 5.9 Vector Memory · 5.10 Oracles and AI</w:t>
      </w:r>
    </w:p>
    <w:p>
      <w:pPr>
        <w:pStyle w:val="BodyText"/>
      </w:pPr>
      <w:r>
        <w:rPr>
          <w:b/>
          <w:bCs/>
        </w:rPr>
        <w:t xml:space="preserve">6. Compilation Targets, AIVM, and Runtime</w:t>
      </w:r>
      <w:r>
        <w:br/>
      </w:r>
      <w:r>
        <w:t xml:space="preserve">6.1 Compilation and Admission Pipeline · 6.2 Canonical AST · 6.3 IR · 6.4 Deployment Artifact · 6.5 Bytecode Verification · 6.6 AIVM Definition · 6.7 Component Model · 6.8 AI Trust Modes · 6.9 Deterministic AI Operators · 6.10 Model Artifact · 6.11 Inference Request and Receipt · 6.12 Deterministic Policy Gate · 6.13 AI Agent Execution · 6.14 Host Capability Gateway · 6.15 SynQ-VM Instructions · 6.16 Hardware Acceleration · 6.17 Execution Receipts · 6.18 Operational Profiles · 6.19 Meaning of AI-Powered · 6.20 Intelligence-Layer Node Integration · 6.21 End-to-End AI Workload Lifecycle</w:t>
      </w:r>
    </w:p>
    <w:p>
      <w:pPr>
        <w:pStyle w:val="BodyText"/>
      </w:pPr>
      <w:r>
        <w:rPr>
          <w:b/>
          <w:bCs/>
        </w:rPr>
        <w:t xml:space="preserve">7. Standard Library</w:t>
      </w:r>
      <w:r>
        <w:br/>
      </w:r>
      <w:r>
        <w:t xml:space="preserve">Authority · identity · assets · approvals/delegation · facts/SCETP/SXCP · Aegis · AI/model/agent · math/collections/proof · manifests · testing</w:t>
      </w:r>
    </w:p>
    <w:p>
      <w:pPr>
        <w:pStyle w:val="BodyText"/>
      </w:pPr>
      <w:r>
        <w:rPr>
          <w:b/>
          <w:bCs/>
        </w:rPr>
        <w:t xml:space="preserve">8. Toolchain and Developer Workflow</w:t>
      </w:r>
      <w:r>
        <w:br/>
      </w:r>
      <w:r>
        <w:t xml:space="preserve">Toolchain components · CLI · deterministic builds · packages · model workflow · IDE/manifests · SDKs · simulation · transparency · toolchain security</w:t>
      </w:r>
    </w:p>
    <w:p>
      <w:pPr>
        <w:pStyle w:val="BodyText"/>
      </w:pPr>
      <w:r>
        <w:rPr>
          <w:b/>
          <w:bCs/>
        </w:rPr>
        <w:t xml:space="preserve">9. Testing, Formal Verification, and Conformance</w:t>
      </w:r>
      <w:r>
        <w:br/>
      </w:r>
      <w:r>
        <w:t xml:space="preserve">Verification layers · compiler tests · proof profiles · vacuity/coverage · cross-client determinism · AIVM AI conformance · security matrix · AI adversarial testing · capacity · external audit</w:t>
      </w:r>
    </w:p>
    <w:p>
      <w:pPr>
        <w:pStyle w:val="BodyText"/>
      </w:pPr>
      <w:r>
        <w:rPr>
          <w:b/>
          <w:bCs/>
        </w:rPr>
        <w:t xml:space="preserve">10. Examples and Secure Patterns</w:t>
      </w:r>
      <w:r>
        <w:br/>
      </w:r>
      <w:r>
        <w:t xml:space="preserve">Authority · treasury · native deterministic AI · proof-verified AI · asynchronous jobs · bounded agents · cross-chain conditions · upgrades · anti-patterns</w:t>
      </w:r>
    </w:p>
    <w:p>
      <w:pPr>
        <w:pStyle w:val="BodyText"/>
      </w:pPr>
      <w:r>
        <w:rPr>
          <w:b/>
          <w:bCs/>
        </w:rPr>
        <w:t xml:space="preserve">11. Deployment, Upgrade, Monitoring, and Lifecycle</w:t>
      </w:r>
      <w:r>
        <w:br/>
      </w:r>
      <w:r>
        <w:t xml:space="preserve">Deployment qualification · initialization · profiles · upgrades · model lifecycle · monitoring · quarantine · corrective transitions/rollback · incident response · archival · release gates</w:t>
      </w:r>
    </w:p>
    <w:bookmarkEnd w:id="20"/>
    <w:bookmarkStart w:id="21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A.</w:t>
      </w:r>
      <w:r>
        <w:t xml:space="preserve"> </w:t>
      </w:r>
      <w:r>
        <w:t xml:space="preserve">Normative Grammar</w:t>
      </w:r>
      <w:r>
        <w:br/>
      </w:r>
      <w:r>
        <w:rPr>
          <w:b/>
          <w:bCs/>
        </w:rPr>
        <w:t xml:space="preserve">Appendix B.</w:t>
      </w:r>
      <w:r>
        <w:t xml:space="preserve"> </w:t>
      </w:r>
      <w:r>
        <w:t xml:space="preserve">ABI and Canonical Encoding</w:t>
      </w:r>
      <w:r>
        <w:br/>
      </w:r>
      <w:r>
        <w:rPr>
          <w:b/>
          <w:bCs/>
        </w:rPr>
        <w:t xml:space="preserve">Appendix C.</w:t>
      </w:r>
      <w:r>
        <w:t xml:space="preserve"> </w:t>
      </w:r>
      <w:r>
        <w:t xml:space="preserve">IR and Bytecode Specification</w:t>
      </w:r>
      <w:r>
        <w:br/>
      </w:r>
      <w:r>
        <w:rPr>
          <w:b/>
          <w:bCs/>
        </w:rPr>
        <w:t xml:space="preserve">Appendix D.</w:t>
      </w:r>
      <w:r>
        <w:t xml:space="preserve"> </w:t>
      </w:r>
      <w:r>
        <w:t xml:space="preserve">Standard Library API Summary</w:t>
      </w:r>
      <w:r>
        <w:br/>
      </w:r>
      <w:r>
        <w:rPr>
          <w:b/>
          <w:bCs/>
        </w:rPr>
        <w:t xml:space="preserve">Appendix E.</w:t>
      </w:r>
      <w:r>
        <w:t xml:space="preserve"> </w:t>
      </w:r>
      <w:r>
        <w:t xml:space="preserve">Formal Proof Sketches</w:t>
      </w:r>
      <w:r>
        <w:br/>
      </w:r>
      <w:r>
        <w:rPr>
          <w:b/>
          <w:bCs/>
        </w:rPr>
        <w:t xml:space="preserve">Appendix F.</w:t>
      </w:r>
      <w:r>
        <w:t xml:space="preserve"> </w:t>
      </w:r>
      <w:r>
        <w:t xml:space="preserve">AIVM Model and Inference Artifact Specification</w:t>
      </w:r>
      <w:r>
        <w:br/>
      </w:r>
      <w:r>
        <w:rPr>
          <w:b/>
          <w:bCs/>
        </w:rPr>
        <w:t xml:space="preserve">Appendix G.</w:t>
      </w:r>
      <w:r>
        <w:t xml:space="preserve"> </w:t>
      </w:r>
      <w:r>
        <w:t xml:space="preserve">Conformance and Security Profiles</w:t>
      </w:r>
      <w:r>
        <w:br/>
      </w:r>
      <w:r>
        <w:rPr>
          <w:b/>
          <w:bCs/>
        </w:rPr>
        <w:t xml:space="preserve">Appendix H.</w:t>
      </w:r>
      <w:r>
        <w:t xml:space="preserve"> </w:t>
      </w:r>
      <w:r>
        <w:t xml:space="preserve">Glossary</w:t>
      </w:r>
      <w:r>
        <w:br/>
      </w:r>
      <w:r>
        <w:rPr>
          <w:b/>
          <w:bCs/>
        </w:rPr>
        <w:t xml:space="preserve">Appendix I.</w:t>
      </w:r>
      <w:r>
        <w:t xml:space="preserve"> </w:t>
      </w:r>
      <w:r>
        <w:t xml:space="preserve">Alignment Matrix</w:t>
      </w:r>
      <w:r>
        <w:br/>
      </w:r>
      <w:r>
        <w:rPr>
          <w:b/>
          <w:bCs/>
        </w:rPr>
        <w:t xml:space="preserve">Appendix J.</w:t>
      </w:r>
      <w:r>
        <w:t xml:space="preserve"> </w:t>
      </w:r>
      <w:r>
        <w:t xml:space="preserve">Implementation Checklist</w:t>
      </w:r>
      <w:r>
        <w:br/>
      </w:r>
      <w:r>
        <w:rPr>
          <w:b/>
          <w:bCs/>
        </w:rPr>
        <w:t xml:space="preserve">Appendix K.</w:t>
      </w:r>
      <w:r>
        <w:t xml:space="preserve"> </w:t>
      </w:r>
      <w:r>
        <w:t xml:space="preserve">AIVM Service, Receipt, and Node-Interaction APIs</w:t>
      </w:r>
    </w:p>
    <w:p>
      <w:pPr>
        <w:pStyle w:val="Heading2"/>
      </w:pPr>
      <w:r>
        <w:t>23-Document Distribution Map</w:t>
      </w:r>
    </w:p>
    <w:p>
      <w:pPr>
        <w:pStyle w:val="FirstParagraph"/>
      </w:pPr>
      <w:r>
        <w:t>This v7 edition retains the original 17-document SynQ structure and adds six standalone AIVM-aligned appendices so that normative model, receipt, conformance, glossary, alignment, implementation, and service-API material is not embedded inside unrelated files. The package therefore contains 23 DOCX documents: the original files 00–16, plus 17-Appendix-F-AIVM-Model-&amp;-Inference-Artifacts, 18-Appendix-G-Conformance-&amp;-Security-Profiles, 19-Appendix-H-Glossary, 20-Appendix-I-Alignment-Matrix, 21-Appendix-J-Implementation-Checklist, and 22-Appendix-K-AIVM-Service-Receipt-&amp;-Node-Interaction-APIs.</w:t>
      </w:r>
    </w:p>
    <w:bookmarkEnd w:id="21"/>
    <w:bookmarkEnd w:id="22"/>
    <w:bookmarkStart w:id="29" w:name="introduction-and-alignment"/>
    <w:p>
      <w:pPr>
        <w:pStyle w:val="Heading1"/>
      </w:pPr>
      <w:r>
        <w:t xml:space="preserve">0. Introduction and Alignment</w:t>
      </w:r>
    </w:p>
    <w:bookmarkStart w:id="23" w:name="purpose"/>
    <w:p>
      <w:pPr>
        <w:pStyle w:val="Heading2"/>
      </w:pPr>
      <w:r>
        <w:t xml:space="preserve">0.1 Purpose</w:t>
      </w:r>
    </w:p>
    <w:p>
      <w:pPr>
        <w:pStyle w:val="FirstParagraph"/>
      </w:pPr>
      <w:r>
        <w:t xml:space="preserve">SynQ is Synergy Network’s domain-specific language for deterministic, authority-aware, formally verifiable smart contracts. AIVM is the node-side platform that admits SynQ deployment artifacts, constructs their authority and verified-fact context, invokes the SynQ-VM kernel, meters resources, journals state changes, and integrates bounded artificial-intelligence workloads without allowing model output to become protocol authority by implication.</w:t>
      </w:r>
    </w:p>
    <w:p>
      <w:pPr>
        <w:pStyle w:val="BodyText"/>
      </w:pPr>
      <w:r>
        <w:t xml:space="preserve">Version 7.0 replaces the earlier crypto-centric description of SynQ with a security-aligned execution specification. It retains the original language goals—post-quantum resilience, strong typing, bounded execution, formal verification, and cross-domain composition—but updates the mechanism and vocabulary in five material ways:</w:t>
      </w:r>
    </w:p>
    <w:p>
      <w:pPr>
        <w:pStyle w:val="Compact"/>
        <w:numPr>
          <w:ilvl w:val="0"/>
          <w:numId w:val="1001"/>
        </w:numPr>
      </w:pPr>
      <w:r>
        <w:t xml:space="preserve">cryptography is consumed through governed Aegis profiles rather than hard-coded signature libraries;</w:t>
      </w:r>
    </w:p>
    <w:p>
      <w:pPr>
        <w:pStyle w:val="Compact"/>
        <w:numPr>
          <w:ilvl w:val="0"/>
          <w:numId w:val="1001"/>
        </w:numPr>
      </w:pPr>
      <w:r>
        <w:t xml:space="preserve">identity and authorization are expressed through UMA identities, capabilities, policies, recovery state, and typed authority envelopes rather than raw caller addresses;</w:t>
      </w:r>
    </w:p>
    <w:p>
      <w:pPr>
        <w:pStyle w:val="Compact"/>
        <w:numPr>
          <w:ilvl w:val="0"/>
          <w:numId w:val="1001"/>
        </w:numPr>
      </w:pPr>
      <w:r>
        <w:t xml:space="preserve">cross-chain and wallet-mediated information enters execution as SCETP or SXCP verified facts rather than direct remote calls or custodial bridge messages;</w:t>
      </w:r>
    </w:p>
    <w:p>
      <w:pPr>
        <w:pStyle w:val="Compact"/>
        <w:numPr>
          <w:ilvl w:val="0"/>
          <w:numId w:val="1001"/>
        </w:numPr>
      </w:pPr>
      <w:r>
        <w:t xml:space="preserve">contract execution is hosted by AIVM, with SynQ-VM as its deterministic consensus kernel; and</w:t>
      </w:r>
    </w:p>
    <w:p>
      <w:pPr>
        <w:pStyle w:val="Compact"/>
        <w:numPr>
          <w:ilvl w:val="0"/>
          <w:numId w:val="1001"/>
        </w:numPr>
      </w:pPr>
      <w:r>
        <w:t xml:space="preserve">artificial intelligence is treated as a protocol workload class whose outputs require model, runtime, input, policy, provenance, and verification receipts.</w:t>
      </w:r>
    </w:p>
    <w:bookmarkEnd w:id="23"/>
    <w:bookmarkStart w:id="24" w:name="scope"/>
    <w:p>
      <w:pPr>
        <w:pStyle w:val="Heading2"/>
      </w:pPr>
      <w:r>
        <w:t xml:space="preserve">0.2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2"/>
        </w:numPr>
      </w:pPr>
      <w:r>
        <w:t xml:space="preserve">the SynQ source language, type system, effect system, authority model, and failure semantics;</w:t>
      </w:r>
    </w:p>
    <w:p>
      <w:pPr>
        <w:pStyle w:val="Compact"/>
        <w:numPr>
          <w:ilvl w:val="0"/>
          <w:numId w:val="1002"/>
        </w:numPr>
      </w:pPr>
      <w:r>
        <w:t xml:space="preserve">compiler, intermediate-representation, formal-verification, and artifact-admission requirements;</w:t>
      </w:r>
    </w:p>
    <w:p>
      <w:pPr>
        <w:pStyle w:val="Compact"/>
        <w:numPr>
          <w:ilvl w:val="0"/>
          <w:numId w:val="1002"/>
        </w:numPr>
      </w:pPr>
      <w:r>
        <w:t xml:space="preserve">the SynQ-VM instruction and state-transition model;</w:t>
      </w:r>
    </w:p>
    <w:p>
      <w:pPr>
        <w:pStyle w:val="Compact"/>
        <w:numPr>
          <w:ilvl w:val="0"/>
          <w:numId w:val="1002"/>
        </w:numPr>
      </w:pPr>
      <w:r>
        <w:t xml:space="preserve">the AIVM architecture, host-capability boundary, AI trust modes, model registry, inference receipts, and AI agent controls;</w:t>
      </w:r>
    </w:p>
    <w:p>
      <w:pPr>
        <w:pStyle w:val="Compact"/>
        <w:numPr>
          <w:ilvl w:val="0"/>
          <w:numId w:val="1002"/>
        </w:numPr>
      </w:pPr>
      <w:r>
        <w:t xml:space="preserve">integration with Aegis, UMA, SCETP, SXCP, PoSy, the Synergy Wallet, model and dataset services, and AI verification nodes;</w:t>
      </w:r>
    </w:p>
    <w:p>
      <w:pPr>
        <w:pStyle w:val="Compact"/>
        <w:numPr>
          <w:ilvl w:val="0"/>
          <w:numId w:val="1002"/>
        </w:numPr>
      </w:pPr>
      <w:r>
        <w:t xml:space="preserve">standard-library modules and developer tooling;</w:t>
      </w:r>
    </w:p>
    <w:p>
      <w:pPr>
        <w:pStyle w:val="Compact"/>
        <w:numPr>
          <w:ilvl w:val="0"/>
          <w:numId w:val="1002"/>
        </w:numPr>
      </w:pPr>
      <w:r>
        <w:t xml:space="preserve">conformance, security, red-team, and cross-client parity requirements; and</w:t>
      </w:r>
    </w:p>
    <w:p>
      <w:pPr>
        <w:pStyle w:val="Compact"/>
        <w:numPr>
          <w:ilvl w:val="0"/>
          <w:numId w:val="1002"/>
        </w:numPr>
      </w:pPr>
      <w:r>
        <w:t xml:space="preserve">deployment, upgrade, quarantine, corrective-transition, and end-of-life rules.</w:t>
      </w:r>
    </w:p>
    <w:p>
      <w:pPr>
        <w:pStyle w:val="FirstParagraph"/>
      </w:pPr>
      <w:r>
        <w:t xml:space="preserve">It does not define the complete PoSy consensus protocol, the full Aegis cryptographic authority plane, the external-chain adapter internals, or the operational configuration of every Synergy node role. Those subsystems remain authoritative within their own specifications.</w:t>
      </w:r>
    </w:p>
    <w:bookmarkEnd w:id="24"/>
    <w:bookmarkStart w:id="25" w:name="audience"/>
    <w:p>
      <w:pPr>
        <w:pStyle w:val="Heading2"/>
      </w:pPr>
      <w:r>
        <w:t xml:space="preserve">0.3 Audience</w:t>
      </w:r>
    </w:p>
    <w:p>
      <w:pPr>
        <w:pStyle w:val="FirstParagraph"/>
      </w:pPr>
      <w:r>
        <w:t xml:space="preserve">The primary audience is language and compiler engineers, AIVM and SynQ-VM implementers, formal-verification researchers, smart-contract developers, AI infrastructure providers, security auditors, node integrators, protocol architects, and governance reviewers.</w:t>
      </w:r>
    </w:p>
    <w:bookmarkEnd w:id="25"/>
    <w:bookmarkStart w:id="26" w:name="normative-relationships"/>
    <w:p>
      <w:pPr>
        <w:pStyle w:val="Heading2"/>
      </w:pPr>
      <w:r>
        <w:t xml:space="preserve">0.4 Normative Relationships</w:t>
      </w:r>
    </w:p>
    <w:p>
      <w:pPr>
        <w:pStyle w:val="FirstParagraph"/>
      </w:pPr>
      <w:r>
        <w:t xml:space="preserve">The following ordering applies when documents appear to conflict:</w:t>
      </w:r>
    </w:p>
    <w:p>
      <w:pPr>
        <w:pStyle w:val="Compact"/>
        <w:numPr>
          <w:ilvl w:val="0"/>
          <w:numId w:val="1003"/>
        </w:numPr>
      </w:pPr>
      <w:r>
        <w:t xml:space="preserve">consensus-validity and security invariants defined by the Security Implementation Specification v7;</w:t>
      </w:r>
    </w:p>
    <w:p>
      <w:pPr>
        <w:pStyle w:val="Compact"/>
        <w:numPr>
          <w:ilvl w:val="0"/>
          <w:numId w:val="1003"/>
        </w:numPr>
      </w:pPr>
      <w:r>
        <w:t xml:space="preserve">Aegis, UMA, SCETP, SXCP, and PoSy subsystem rules within their authority domains;</w:t>
      </w:r>
    </w:p>
    <w:p>
      <w:pPr>
        <w:pStyle w:val="Compact"/>
        <w:numPr>
          <w:ilvl w:val="0"/>
          <w:numId w:val="1003"/>
        </w:numPr>
      </w:pPr>
      <w:r>
        <w:t xml:space="preserve">this SynQ/AIVM technical specification;</w:t>
      </w:r>
    </w:p>
    <w:p>
      <w:pPr>
        <w:pStyle w:val="Compact"/>
        <w:numPr>
          <w:ilvl w:val="0"/>
          <w:numId w:val="1003"/>
        </w:numPr>
      </w:pPr>
      <w:r>
        <w:t xml:space="preserve">standard-library and tooling documentation; and</w:t>
      </w:r>
    </w:p>
    <w:p>
      <w:pPr>
        <w:pStyle w:val="Compact"/>
        <w:numPr>
          <w:ilvl w:val="0"/>
          <w:numId w:val="1003"/>
        </w:numPr>
      </w:pPr>
      <w:r>
        <w:t xml:space="preserve">examples, tutorials, and non-normative implementation notes.</w:t>
      </w:r>
    </w:p>
    <w:p>
      <w:pPr>
        <w:pStyle w:val="FirstParagraph"/>
      </w:pPr>
      <w:r>
        <w:t xml:space="preserve">A compiler option, model manifest, runtime flag, operator override, or contract declaration MUST NOT weaken a higher-order protocol invariant.</w:t>
      </w:r>
    </w:p>
    <w:bookmarkEnd w:id="26"/>
    <w:bookmarkStart w:id="27" w:name="notation-and-conventions"/>
    <w:p>
      <w:pPr>
        <w:pStyle w:val="Heading2"/>
      </w:pPr>
      <w:r>
        <w:t xml:space="preserve">0.5 Notation and Conventions</w:t>
      </w:r>
    </w:p>
    <w:p>
      <w:pPr>
        <w:pStyle w:val="Compact"/>
        <w:numPr>
          <w:ilvl w:val="0"/>
          <w:numId w:val="1004"/>
        </w:numPr>
      </w:pPr>
      <w:r>
        <w:t xml:space="preserve">Source examples use the</w:t>
      </w:r>
      <w:r>
        <w:t xml:space="preserve"> </w:t>
      </w:r>
      <w:r>
        <w:rPr>
          <w:rStyle w:val="VerbatimChar"/>
        </w:rPr>
        <w:t xml:space="preserve">synq</w:t>
      </w:r>
      <w:r>
        <w:t xml:space="preserve"> </w:t>
      </w:r>
      <w:r>
        <w:t xml:space="preserve">code-block label.</w:t>
      </w:r>
    </w:p>
    <w:p>
      <w:pPr>
        <w:pStyle w:val="Compact"/>
        <w:numPr>
          <w:ilvl w:val="0"/>
          <w:numId w:val="1004"/>
        </w:numPr>
      </w:pPr>
      <w:r>
        <w:t xml:space="preserve">Wire and artifact examples use canonical field names in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Hash32</w:t>
      </w:r>
      <w:r>
        <w:t xml:space="preserve"> </w:t>
      </w:r>
      <w:r>
        <w:t xml:space="preserve">denotes a domain-separated 32-byte digest under the active Aegis hash profile.</w:t>
      </w:r>
    </w:p>
    <w:p>
      <w:pPr>
        <w:pStyle w:val="Compact"/>
        <w:numPr>
          <w:ilvl w:val="0"/>
          <w:numId w:val="1004"/>
        </w:numPr>
      </w:pPr>
      <w:r>
        <w:t xml:space="preserve">Heights and epochs are consensus time. Wall-clock timestamps are audit metadata only unless an external-chain fact explicitly uses that chain’s native time semantics.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AuthorityEnvelope&lt;T&gt;</w:t>
      </w:r>
      <w:r>
        <w:t xml:space="preserve"> </w:t>
      </w:r>
      <w:r>
        <w:t xml:space="preserve">binds an invocation to identity, capability, scope, recovery state, nonce, chain/lane, and expiry.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VerifiedFact&lt;T&gt;</w:t>
      </w:r>
      <w:r>
        <w:t xml:space="preserve"> </w:t>
      </w:r>
      <w:r>
        <w:t xml:space="preserve">binds data to its proof, provenance, finality, adapter, context, and nullifier.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AI output</w:t>
      </w:r>
      <w:r>
        <w:t xml:space="preserve">”</w:t>
      </w:r>
      <w:r>
        <w:t xml:space="preserve"> </w:t>
      </w:r>
      <w:r>
        <w:t xml:space="preserve">includes inference, embedding, classification, ranking, generation, agent planning, evaluation, and model-derived scores.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Authoritative</w:t>
      </w:r>
      <w:r>
        <w:t xml:space="preserve">”</w:t>
      </w:r>
      <w:r>
        <w:t xml:space="preserve"> </w:t>
      </w:r>
      <w:r>
        <w:t xml:space="preserve">means capable of affecting a consensus-recognized state transition, not merely useful to a user or operator.</w:t>
      </w:r>
    </w:p>
    <w:bookmarkEnd w:id="27"/>
    <w:bookmarkStart w:id="28" w:name="system-boundary-summary"/>
    <w:p>
      <w:pPr>
        <w:pStyle w:val="Heading2"/>
      </w:pPr>
      <w:r>
        <w:t xml:space="preserve">0.6 System Boundary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create protocol authority?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SynQ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Parse, type-check, verify, and produce deterministic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proof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proof certificate and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code, ABI, metadata, proof, model, dependency, and version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admitted execution, AI modes, metering, journaling, receipts, and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SynQ-VM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canonical bytecode deterministically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 cryptographic profiles and produce/verify authority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within delegated cryptographic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persistent identity state and key-independent identity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substrate, not arbitrary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SCETP / SXCP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verified same-chain external intent or cross-chain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within typed, verified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PoSy validators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candidate transitions and finalize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through consensus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Execute, verify, store, route, train, or evaluate AI 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outputs require policy and receipt admission</w:t>
            </w:r>
          </w:p>
        </w:tc>
      </w:tr>
    </w:tbl>
    <w:bookmarkEnd w:id="28"/>
    <w:bookmarkEnd w:id="29"/>
    <w:bookmarkStart w:id="46" w:name="language-goals-and-non-goals"/>
    <w:sectPr>
      <w:headerReference r:id="rId9" w:type="default"/>
      <w:footerReference r:id="rId10" w:type="default"/>
      <w:pgSz w:h="15840" w:w="12240"/>
      <w:pgMar w:bottom="936" w:footer="403" w:header="403" w:left="1037" w:right="1037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66666"/>
        <w:sz w:val="15"/>
      </w:rPr>
      <w:t xml:space="preserve">SECURITY-ALIGNED TECHNICAL SPECIFICATION  |  Page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4F81BD"/>
      </w:pBdr>
    </w:pPr>
    <w:r>
      <w:rPr>
        <w:rFonts w:ascii="Cambria" w:hAnsi="Cambria"/>
        <w:b/>
        <w:color w:val="345A8A"/>
        <w:sz w:val="16"/>
      </w:rPr>
      <w:t>SYNERGY NETWORK  |  SYNQ / AIVM TECHNICAL SPECIFICATION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5" w:lineRule="auto"/>
    </w:pPr>
    <w:rPr>
      <w:rFonts w:ascii="Cambria" w:eastAsia="Cambria" w:hAnsi="Cambria"/>
      <w:sz w:val="19"/>
    </w:rPr>
  </w:style>
  <w:style w:styleId="BodyText" w:type="paragraph">
    <w:name w:val="Body Text"/>
    <w:basedOn w:val="Normal"/>
    <w:link w:val="BodyTextChar"/>
    <w:pPr>
      <w:spacing w:after="80" w:before="180" w:line="245" w:lineRule="auto"/>
    </w:pPr>
    <w:qFormat/>
    <w:rPr>
      <w:rFonts w:ascii="Cambria" w:eastAsia="Cambria" w:hAnsi="Cambria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45" w:lineRule="auto"/>
    </w:pPr>
    <w:rPr>
      <w:rFonts w:ascii="Cambria" w:eastAsia="Cambria" w:hAnsi="Cambria"/>
      <w:sz w:val="19"/>
    </w:rPr>
  </w:style>
  <w:style w:customStyle="1" w:styleId="Compact" w:type="paragraph">
    <w:name w:val="Compact"/>
    <w:basedOn w:val="BodyText"/>
    <w:qFormat/>
    <w:pPr>
      <w:spacing w:after="30" w:before="36" w:line="245" w:lineRule="auto"/>
    </w:pPr>
    <w:rPr>
      <w:rFonts w:ascii="Cambria" w:eastAsia="Cambria" w:hAnsi="Cambria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eastAsia="Calibri" w:hAnsi="Calibri"/>
      <w:b w:val="0"/>
      <w:color w:val="345A8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="Cambria" w:asciiTheme="majorHAnsi" w:cstheme="majorBidi" w:eastAsia="Cambria" w:eastAsiaTheme="majorEastAsia" w:hAnsi="Cambria" w:hAnsiTheme="majorHAnsi"/>
      <w:i/>
      <w:b/>
      <w:bCs/>
      <w:color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80"/>
      <w:ind w:firstLine="0" w:left="317" w:right="259"/>
    </w:pPr>
    <w:rPr>
      <w:rFonts w:ascii="Cambria" w:hAnsi="Cambria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/>
    </w:pPr>
    <w:rPr>
      <w:rFonts w:ascii="Cambria" w:hAnsi="Cambria"/>
      <w:i/>
      <w:sz w:val="17"/>
    </w:rPr>
  </w:style>
  <w:style w:customStyle="1" w:styleId="TableCaption" w:type="paragraph">
    <w:name w:val="Table Caption"/>
    <w:basedOn w:val="Caption"/>
    <w:pPr>
      <w:keepNext/>
      <w:spacing w:after="100" w:before="40"/>
    </w:pPr>
    <w:rPr>
      <w:rFonts w:ascii="Cambria" w:hAnsi="Cambria"/>
      <w:i/>
      <w:sz w:val="17"/>
    </w:rPr>
  </w:style>
  <w:style w:customStyle="1" w:styleId="ImageCaption" w:type="paragraph">
    <w:name w:val="Image Caption"/>
    <w:basedOn w:val="Caption"/>
    <w:pPr>
      <w:spacing w:after="100" w:before="40"/>
    </w:pPr>
    <w:rPr>
      <w:rFonts w:ascii="Cambria" w:hAnsi="Cambria"/>
      <w:i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60"/>
      <w:ind w:left="216" w:right="216"/>
    </w:pPr>
    <w:rPr>
      <w:rFonts w:ascii="Consolas" w:eastAsia="Consolas" w:hAnsi="Consolas"/>
      <w:sz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1" Type="http://schemas.openxmlformats.org/officeDocument/2006/relationships/image" Target="media/rId41.png"/><Relationship Id="rId106" Type="http://schemas.openxmlformats.org/officeDocument/2006/relationships/image" Target="media/rId106.png"/><Relationship Id="rId96" Type="http://schemas.openxmlformats.org/officeDocument/2006/relationships/image" Target="media/rId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SynQ Language and AI-Powered Virtual Machine (AIVM) Technical Specification — 23-Document Edition</dc:title>
  <dc:creator>Synergy Network</dc:creator>
  <dc:language>en-US</dc:language>
  <cp:keywords/>
  <dcterms:created xsi:type="dcterms:W3CDTF">2026-07-15T16:31:13Z</dcterms:created>
  <dcterms:modified xsi:type="dcterms:W3CDTF">2026-07-15T16:31:13Z</dcterms:modified>
  <dc:subject>Version 7.0 expanded modular distribution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Version 7.0 — Security, Authority, and Intelligence-Layer Aligned Edition</vt:lpwstr>
  </property>
</Properties>
</file>