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41.png" ContentType="image/png"/>
  <Override PartName="/word/media/rId106.png" ContentType="image/png"/>
  <Override PartName="/word/media/rId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2. Formal Semantics and Type System</w:t>
      </w:r>
    </w:p>
    <w:bookmarkStart w:id="47" w:name="source-structure"/>
    <w:p>
      <w:pPr>
        <w:pStyle w:val="Heading2"/>
      </w:pPr>
      <w:r>
        <w:t xml:space="preserve">2.1 Source Structure</w:t>
      </w:r>
    </w:p>
    <w:p>
      <w:pPr>
        <w:pStyle w:val="FirstParagraph"/>
      </w:pPr>
      <w:r>
        <w:t xml:space="preserve">A SynQ compilation unit contains modules, types, contracts, formal specifications, model declarations, events, and functions. The canonical source encoding is UTF-8 under the active Synergy source profile. Invalid encodings, ambiguous normalization, duplicate declarations, and non-canonical identifiers MUST fail before semantic analysis.</w:t>
      </w:r>
    </w:p>
    <w:p>
      <w:pPr>
        <w:pStyle w:val="SourceCode"/>
      </w:pPr>
      <w:r>
        <w:rPr>
          <w:rStyle w:val="VerbatimChar"/>
        </w:rPr>
        <w:t xml:space="preserve">module treasury.risk;</w:t>
      </w:r>
      <w:r>
        <w:br/>
      </w:r>
      <w:r>
        <w:br/>
      </w:r>
      <w:r>
        <w:rPr>
          <w:rStyle w:val="VerbatimChar"/>
        </w:rPr>
        <w:t xml:space="preserve">use authority::{AuthorityEnvelope, Capability};</w:t>
      </w:r>
      <w:r>
        <w:br/>
      </w:r>
      <w:r>
        <w:rPr>
          <w:rStyle w:val="VerbatimChar"/>
        </w:rPr>
        <w:t xml:space="preserve">use identity::UMAIdentity;</w:t>
      </w:r>
      <w:r>
        <w:br/>
      </w:r>
      <w:r>
        <w:rPr>
          <w:rStyle w:val="VerbatimChar"/>
        </w:rPr>
        <w:t xml:space="preserve">use ai::{ModelId, InferenceRequest, InferenceReceipt};</w:t>
      </w:r>
      <w:r>
        <w:br/>
      </w:r>
      <w:r>
        <w:rPr>
          <w:rStyle w:val="VerbatimChar"/>
        </w:rPr>
        <w:t xml:space="preserve">use asset::Asset;</w:t>
      </w:r>
      <w:r>
        <w:br/>
      </w:r>
      <w:r>
        <w:br/>
      </w:r>
      <w:r>
        <w:rPr>
          <w:rStyle w:val="VerbatimChar"/>
        </w:rPr>
        <w:t xml:space="preserve">contract RiskControlledTreasury {</w:t>
      </w:r>
      <w:r>
        <w:br/>
      </w:r>
      <w:r>
        <w:rPr>
          <w:rStyle w:val="VerbatimChar"/>
        </w:rPr>
        <w:t xml:space="preserve">    state reserve: Asset&lt;SNRG&gt;;</w:t>
      </w:r>
      <w:r>
        <w:br/>
      </w:r>
      <w:r>
        <w:rPr>
          <w:rStyle w:val="VerbatimChar"/>
        </w:rPr>
        <w:t xml:space="preserve">    state risk_model: ModelId;</w:t>
      </w:r>
      <w:r>
        <w:br/>
      </w:r>
      <w:r>
        <w:br/>
      </w:r>
      <w:r>
        <w:rPr>
          <w:rStyle w:val="VerbatimChar"/>
        </w:rPr>
        <w:t xml:space="preserve">    invariant reserve.amount() &gt;= 0;</w:t>
      </w:r>
      <w:r>
        <w:br/>
      </w:r>
      <w:r>
        <w:rPr>
          <w:rStyle w:val="VerbatimChar"/>
        </w:rPr>
        <w:t xml:space="preserve">}</w:t>
      </w:r>
    </w:p>
    <w:bookmarkEnd w:id="47"/>
    <w:bookmarkStart w:id="48" w:name="primitive-types"/>
    <w:p>
      <w:pPr>
        <w:pStyle w:val="Heading2"/>
      </w:pPr>
      <w:r>
        <w:t xml:space="preserve">2.2 Primitive Types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Type</w:t>
            </w:r>
          </w:p>
        </w:tc>
        <w:tc>
          <w:tcPr/>
          <w:p>
            <w:pPr>
              <w:pStyle w:val="Compact"/>
              <w:jc w:val="left"/>
            </w:pPr>
            <w:r>
              <w:t xml:space="preserve">Meaning</w:t>
            </w:r>
          </w:p>
        </w:tc>
        <w:tc>
          <w:tcPr/>
          <w:p>
            <w:pPr>
              <w:pStyle w:val="Compact"/>
              <w:jc w:val="left"/>
            </w:pPr>
            <w:r>
              <w:t xml:space="preserve">Consensus rule</w:t>
            </w:r>
          </w:p>
        </w:tc>
      </w:tr>
      <w:tr>
        <w:tc>
          <w:tcPr/>
          <w:p>
            <w:pPr>
              <w:pStyle w:val="Compact"/>
              <w:jc w:val="left"/>
            </w:pPr>
            <w:r>
              <w:rPr>
                <w:rStyle w:val="VerbatimChar"/>
              </w:rPr>
              <w:t xml:space="preserve">Bool</w:t>
            </w:r>
          </w:p>
        </w:tc>
        <w:tc>
          <w:tcPr/>
          <w:p>
            <w:pPr>
              <w:pStyle w:val="Compact"/>
              <w:jc w:val="left"/>
            </w:pPr>
            <w:r>
              <w:rPr>
                <w:rStyle w:val="VerbatimChar"/>
              </w:rPr>
              <w:t xml:space="preserve">true</w:t>
            </w:r>
            <w:r>
              <w:t xml:space="preserve"> </w:t>
            </w:r>
            <w:r>
              <w:t xml:space="preserve">or</w:t>
            </w:r>
            <w:r>
              <w:t xml:space="preserve"> </w:t>
            </w:r>
            <w:r>
              <w:rPr>
                <w:rStyle w:val="VerbatimChar"/>
              </w:rPr>
              <w:t xml:space="preserve">false</w:t>
            </w:r>
          </w:p>
        </w:tc>
        <w:tc>
          <w:tcPr/>
          <w:p>
            <w:pPr>
              <w:pStyle w:val="Compact"/>
              <w:jc w:val="left"/>
            </w:pPr>
            <w:r>
              <w:t xml:space="preserve">Canonical one-byte encoding</w:t>
            </w:r>
          </w:p>
        </w:tc>
      </w:tr>
      <w:tr>
        <w:tc>
          <w:tcPr/>
          <w:p>
            <w:pPr>
              <w:pStyle w:val="Compact"/>
              <w:jc w:val="left"/>
            </w:pPr>
            <w:r>
              <w:rPr>
                <w:rStyle w:val="VerbatimChar"/>
              </w:rPr>
              <w:t xml:space="preserve">UInt&lt;N&gt;</w:t>
            </w:r>
          </w:p>
        </w:tc>
        <w:tc>
          <w:tcPr/>
          <w:p>
            <w:pPr>
              <w:pStyle w:val="Compact"/>
              <w:jc w:val="left"/>
            </w:pPr>
            <w:r>
              <w:t xml:space="preserve">Unsigned integer of width</w:t>
            </w:r>
            <w:r>
              <w:t xml:space="preserve"> </w:t>
            </w:r>
            <w:r>
              <w:rPr>
                <w:rStyle w:val="VerbatimChar"/>
              </w:rPr>
              <w:t xml:space="preserve">N</w:t>
            </w:r>
          </w:p>
        </w:tc>
        <w:tc>
          <w:tcPr/>
          <w:p>
            <w:pPr>
              <w:pStyle w:val="Compact"/>
              <w:jc w:val="left"/>
            </w:pPr>
            <w:r>
              <w:t xml:space="preserve">Checked arithmetic;</w:t>
            </w:r>
            <w:r>
              <w:t xml:space="preserve"> </w:t>
            </w:r>
            <w:r>
              <w:rPr>
                <w:rStyle w:val="VerbatimChar"/>
              </w:rPr>
              <w:t xml:space="preserve">N</w:t>
            </w:r>
            <w:r>
              <w:t xml:space="preserve"> </w:t>
            </w:r>
            <w:r>
              <w:t xml:space="preserve">is an approved width</w:t>
            </w:r>
          </w:p>
        </w:tc>
      </w:tr>
      <w:tr>
        <w:tc>
          <w:tcPr/>
          <w:p>
            <w:pPr>
              <w:pStyle w:val="Compact"/>
              <w:jc w:val="left"/>
            </w:pPr>
            <w:r>
              <w:rPr>
                <w:rStyle w:val="VerbatimChar"/>
              </w:rPr>
              <w:t xml:space="preserve">Int&lt;N&gt;</w:t>
            </w:r>
          </w:p>
        </w:tc>
        <w:tc>
          <w:tcPr/>
          <w:p>
            <w:pPr>
              <w:pStyle w:val="Compact"/>
              <w:jc w:val="left"/>
            </w:pPr>
            <w:r>
              <w:t xml:space="preserve">Signed two’s-complement integer</w:t>
            </w:r>
          </w:p>
        </w:tc>
        <w:tc>
          <w:tcPr/>
          <w:p>
            <w:pPr>
              <w:pStyle w:val="Compact"/>
              <w:jc w:val="left"/>
            </w:pPr>
            <w:r>
              <w:t xml:space="preserve">Checked arithmetic and canonical sign extension</w:t>
            </w:r>
          </w:p>
        </w:tc>
      </w:tr>
      <w:tr>
        <w:tc>
          <w:tcPr/>
          <w:p>
            <w:pPr>
              <w:pStyle w:val="Compact"/>
              <w:jc w:val="left"/>
            </w:pPr>
            <w:r>
              <w:rPr>
                <w:rStyle w:val="VerbatimChar"/>
              </w:rPr>
              <w:t xml:space="preserve">Fixed&lt;I,F&gt;</w:t>
            </w:r>
          </w:p>
        </w:tc>
        <w:tc>
          <w:tcPr/>
          <w:p>
            <w:pPr>
              <w:pStyle w:val="Compact"/>
              <w:jc w:val="left"/>
            </w:pPr>
            <w:r>
              <w:t xml:space="preserve">Fixed-point decimal with integer/fraction bits</w:t>
            </w:r>
          </w:p>
        </w:tc>
        <w:tc>
          <w:tcPr/>
          <w:p>
            <w:pPr>
              <w:pStyle w:val="Compact"/>
              <w:jc w:val="left"/>
            </w:pPr>
            <w:r>
              <w:t xml:space="preserve">Exact integer-backed arithmetic; explicit rounding mode</w:t>
            </w:r>
          </w:p>
        </w:tc>
      </w:tr>
      <w:tr>
        <w:tc>
          <w:tcPr/>
          <w:p>
            <w:pPr>
              <w:pStyle w:val="Compact"/>
              <w:jc w:val="left"/>
            </w:pPr>
            <w:r>
              <w:rPr>
                <w:rStyle w:val="VerbatimChar"/>
              </w:rPr>
              <w:t xml:space="preserve">Bytes&lt;N&gt;</w:t>
            </w:r>
          </w:p>
        </w:tc>
        <w:tc>
          <w:tcPr/>
          <w:p>
            <w:pPr>
              <w:pStyle w:val="Compact"/>
              <w:jc w:val="left"/>
            </w:pPr>
            <w:r>
              <w:t xml:space="preserve">Fixed-size byte sequence</w:t>
            </w:r>
          </w:p>
        </w:tc>
        <w:tc>
          <w:tcPr/>
          <w:p>
            <w:pPr>
              <w:pStyle w:val="Compact"/>
              <w:jc w:val="left"/>
            </w:pPr>
            <w:r>
              <w:t xml:space="preserve">Exact length</w:t>
            </w:r>
          </w:p>
        </w:tc>
      </w:tr>
      <w:tr>
        <w:tc>
          <w:tcPr/>
          <w:p>
            <w:pPr>
              <w:pStyle w:val="Compact"/>
              <w:jc w:val="left"/>
            </w:pPr>
            <w:r>
              <w:rPr>
                <w:rStyle w:val="VerbatimChar"/>
              </w:rPr>
              <w:t xml:space="preserve">Bytes</w:t>
            </w:r>
          </w:p>
        </w:tc>
        <w:tc>
          <w:tcPr/>
          <w:p>
            <w:pPr>
              <w:pStyle w:val="Compact"/>
              <w:jc w:val="left"/>
            </w:pPr>
            <w:r>
              <w:t xml:space="preserve">Bounded dynamic byte sequence</w:t>
            </w:r>
          </w:p>
        </w:tc>
        <w:tc>
          <w:tcPr/>
          <w:p>
            <w:pPr>
              <w:pStyle w:val="Compact"/>
              <w:jc w:val="left"/>
            </w:pPr>
            <w:r>
              <w:t xml:space="preserve">Length charged and limited</w:t>
            </w:r>
          </w:p>
        </w:tc>
      </w:tr>
      <w:tr>
        <w:tc>
          <w:tcPr/>
          <w:p>
            <w:pPr>
              <w:pStyle w:val="Compact"/>
              <w:jc w:val="left"/>
            </w:pPr>
            <w:r>
              <w:rPr>
                <w:rStyle w:val="VerbatimChar"/>
              </w:rPr>
              <w:t xml:space="preserve">Hash32</w:t>
            </w:r>
          </w:p>
        </w:tc>
        <w:tc>
          <w:tcPr/>
          <w:p>
            <w:pPr>
              <w:pStyle w:val="Compact"/>
              <w:jc w:val="left"/>
            </w:pPr>
            <w:r>
              <w:t xml:space="preserve">Domain-separated 32-byte digest</w:t>
            </w:r>
          </w:p>
        </w:tc>
        <w:tc>
          <w:tcPr/>
          <w:p>
            <w:pPr>
              <w:pStyle w:val="Compact"/>
              <w:jc w:val="left"/>
            </w:pPr>
            <w:r>
              <w:t xml:space="preserve">Active Aegis hash profile</w:t>
            </w:r>
          </w:p>
        </w:tc>
      </w:tr>
      <w:tr>
        <w:tc>
          <w:tcPr/>
          <w:p>
            <w:pPr>
              <w:pStyle w:val="Compact"/>
              <w:jc w:val="left"/>
            </w:pPr>
            <w:r>
              <w:rPr>
                <w:rStyle w:val="VerbatimChar"/>
              </w:rPr>
              <w:t xml:space="preserve">Height</w:t>
            </w:r>
          </w:p>
        </w:tc>
        <w:tc>
          <w:tcPr/>
          <w:p>
            <w:pPr>
              <w:pStyle w:val="Compact"/>
              <w:jc w:val="left"/>
            </w:pPr>
            <w:r>
              <w:t xml:space="preserve">Finalized block height</w:t>
            </w:r>
          </w:p>
        </w:tc>
        <w:tc>
          <w:tcPr/>
          <w:p>
            <w:pPr>
              <w:pStyle w:val="Compact"/>
              <w:jc w:val="left"/>
            </w:pPr>
            <w:r>
              <w:t xml:space="preserve">Consensus time</w:t>
            </w:r>
          </w:p>
        </w:tc>
      </w:tr>
      <w:tr>
        <w:tc>
          <w:tcPr/>
          <w:p>
            <w:pPr>
              <w:pStyle w:val="Compact"/>
              <w:jc w:val="left"/>
            </w:pPr>
            <w:r>
              <w:rPr>
                <w:rStyle w:val="VerbatimChar"/>
              </w:rPr>
              <w:t xml:space="preserve">Epoch</w:t>
            </w:r>
          </w:p>
        </w:tc>
        <w:tc>
          <w:tcPr/>
          <w:p>
            <w:pPr>
              <w:pStyle w:val="Compact"/>
              <w:jc w:val="left"/>
            </w:pPr>
            <w:r>
              <w:t xml:space="preserve">Protocol epoch</w:t>
            </w:r>
          </w:p>
        </w:tc>
        <w:tc>
          <w:tcPr/>
          <w:p>
            <w:pPr>
              <w:pStyle w:val="Compact"/>
              <w:jc w:val="left"/>
            </w:pPr>
            <w:r>
              <w:t xml:space="preserve">Consensus time</w:t>
            </w:r>
          </w:p>
        </w:tc>
      </w:tr>
      <w:tr>
        <w:tc>
          <w:tcPr/>
          <w:p>
            <w:pPr>
              <w:pStyle w:val="Compact"/>
              <w:jc w:val="left"/>
            </w:pPr>
            <w:r>
              <w:rPr>
                <w:rStyle w:val="VerbatimChar"/>
              </w:rPr>
              <w:t xml:space="preserve">NetworkId</w:t>
            </w:r>
          </w:p>
        </w:tc>
        <w:tc>
          <w:tcPr/>
          <w:p>
            <w:pPr>
              <w:pStyle w:val="Compact"/>
              <w:jc w:val="left"/>
            </w:pPr>
            <w:r>
              <w:t xml:space="preserve">Canonical environment/network identifier</w:t>
            </w:r>
          </w:p>
        </w:tc>
        <w:tc>
          <w:tcPr/>
          <w:p>
            <w:pPr>
              <w:pStyle w:val="Compact"/>
              <w:jc w:val="left"/>
            </w:pPr>
            <w:r>
              <w:t xml:space="preserve">Context binding</w:t>
            </w:r>
          </w:p>
        </w:tc>
      </w:tr>
      <w:tr>
        <w:tc>
          <w:tcPr/>
          <w:p>
            <w:pPr>
              <w:pStyle w:val="Compact"/>
              <w:jc w:val="left"/>
            </w:pPr>
            <w:r>
              <w:rPr>
                <w:rStyle w:val="VerbatimChar"/>
              </w:rPr>
              <w:t xml:space="preserve">LaneId</w:t>
            </w:r>
          </w:p>
        </w:tc>
        <w:tc>
          <w:tcPr/>
          <w:p>
            <w:pPr>
              <w:pStyle w:val="Compact"/>
              <w:jc w:val="left"/>
            </w:pPr>
            <w:r>
              <w:t xml:space="preserve">Native, compatibility, or workload lane</w:t>
            </w:r>
          </w:p>
        </w:tc>
        <w:tc>
          <w:tcPr/>
          <w:p>
            <w:pPr>
              <w:pStyle w:val="Compact"/>
              <w:jc w:val="left"/>
            </w:pPr>
            <w:r>
              <w:t xml:space="preserve">Context binding</w:t>
            </w:r>
          </w:p>
        </w:tc>
      </w:tr>
      <w:tr>
        <w:tc>
          <w:tcPr/>
          <w:p>
            <w:pPr>
              <w:pStyle w:val="Compact"/>
              <w:jc w:val="left"/>
            </w:pPr>
            <w:r>
              <w:rPr>
                <w:rStyle w:val="VerbatimChar"/>
              </w:rPr>
              <w:t xml:space="preserve">ContractId</w:t>
            </w:r>
          </w:p>
        </w:tc>
        <w:tc>
          <w:tcPr/>
          <w:p>
            <w:pPr>
              <w:pStyle w:val="Compact"/>
              <w:jc w:val="left"/>
            </w:pPr>
            <w:r>
              <w:t xml:space="preserve">Content- and network-bound contract identity</w:t>
            </w:r>
          </w:p>
        </w:tc>
        <w:tc>
          <w:tcPr/>
          <w:p>
            <w:pPr>
              <w:pStyle w:val="Compact"/>
              <w:jc w:val="left"/>
            </w:pPr>
            <w:r>
              <w:t xml:space="preserve">Not a caller identity</w:t>
            </w:r>
          </w:p>
        </w:tc>
      </w:tr>
      <w:tr>
        <w:tc>
          <w:tcPr/>
          <w:p>
            <w:pPr>
              <w:pStyle w:val="Compact"/>
              <w:jc w:val="left"/>
            </w:pPr>
            <w:r>
              <w:rPr>
                <w:rStyle w:val="VerbatimChar"/>
              </w:rPr>
              <w:t xml:space="preserve">UMAIdentity</w:t>
            </w:r>
          </w:p>
        </w:tc>
        <w:tc>
          <w:tcPr/>
          <w:p>
            <w:pPr>
              <w:pStyle w:val="Compact"/>
              <w:jc w:val="left"/>
            </w:pPr>
            <w:r>
              <w:t xml:space="preserve">Persistent identity reference</w:t>
            </w:r>
          </w:p>
        </w:tc>
        <w:tc>
          <w:tcPr/>
          <w:p>
            <w:pPr>
              <w:pStyle w:val="Compact"/>
              <w:jc w:val="left"/>
            </w:pPr>
            <w:r>
              <w:t xml:space="preserve">Resolved against current identity state</w:t>
            </w:r>
          </w:p>
        </w:tc>
      </w:tr>
      <w:tr>
        <w:tc>
          <w:tcPr/>
          <w:p>
            <w:pPr>
              <w:pStyle w:val="Compact"/>
              <w:jc w:val="left"/>
            </w:pPr>
            <w:r>
              <w:rPr>
                <w:rStyle w:val="VerbatimChar"/>
              </w:rPr>
              <w:t xml:space="preserve">ModelId</w:t>
            </w:r>
          </w:p>
        </w:tc>
        <w:tc>
          <w:tcPr/>
          <w:p>
            <w:pPr>
              <w:pStyle w:val="Compact"/>
              <w:jc w:val="left"/>
            </w:pPr>
            <w:r>
              <w:t xml:space="preserve">Immutable AI model identity</w:t>
            </w:r>
          </w:p>
        </w:tc>
        <w:tc>
          <w:tcPr/>
          <w:p>
            <w:pPr>
              <w:pStyle w:val="Compact"/>
              <w:jc w:val="left"/>
            </w:pPr>
            <w:r>
              <w:t xml:space="preserve">Hash-bound model manifest</w:t>
            </w:r>
          </w:p>
        </w:tc>
      </w:tr>
    </w:tbl>
    <w:p>
      <w:pPr>
        <w:pStyle w:val="BodyText"/>
      </w:pPr>
      <w:r>
        <w:t xml:space="preserve">Floating-point types are not part of consensus SynQ. Tooling MAY display floating-point approximations, but all admitted values use exact integer or fixed-point encodings.</w:t>
      </w:r>
    </w:p>
    <w:bookmarkEnd w:id="48"/>
    <w:bookmarkStart w:id="49" w:name="composite-and-linear-types"/>
    <w:p>
      <w:pPr>
        <w:pStyle w:val="Heading2"/>
      </w:pPr>
      <w:r>
        <w:t xml:space="preserve">2.3 Composite and Linear Types</w:t>
      </w:r>
    </w:p>
    <w:p>
      <w:pPr>
        <w:pStyle w:val="FirstParagraph"/>
      </w:pPr>
      <w:r>
        <w:t xml:space="preserve">SynQ supports structs, enums, tuples, bounded vectors, fixed arrays, maps, options, results, capabilities, assets, verified facts, tensors, and receipts.</w:t>
      </w:r>
    </w:p>
    <w:p>
      <w:pPr>
        <w:pStyle w:val="SourceCode"/>
      </w:pPr>
      <w:r>
        <w:rPr>
          <w:rStyle w:val="VerbatimChar"/>
        </w:rPr>
        <w:t xml:space="preserve">struct PaymentIntent {</w:t>
      </w:r>
      <w:r>
        <w:br/>
      </w:r>
      <w:r>
        <w:rPr>
          <w:rStyle w:val="VerbatimChar"/>
        </w:rPr>
        <w:t xml:space="preserve">    recipient: UMAIdentity;</w:t>
      </w:r>
      <w:r>
        <w:br/>
      </w:r>
      <w:r>
        <w:rPr>
          <w:rStyle w:val="VerbatimChar"/>
        </w:rPr>
        <w:t xml:space="preserve">    amount: UInt&lt;256&gt;;</w:t>
      </w:r>
      <w:r>
        <w:br/>
      </w:r>
      <w:r>
        <w:rPr>
          <w:rStyle w:val="VerbatimChar"/>
        </w:rPr>
        <w:t xml:space="preserve">    expiry_height: Height;</w:t>
      </w:r>
      <w:r>
        <w:br/>
      </w:r>
      <w:r>
        <w:rPr>
          <w:rStyle w:val="VerbatimChar"/>
        </w:rPr>
        <w:t xml:space="preserve">}</w:t>
      </w:r>
      <w:r>
        <w:br/>
      </w:r>
      <w:r>
        <w:br/>
      </w:r>
      <w:r>
        <w:rPr>
          <w:rStyle w:val="VerbatimChar"/>
        </w:rPr>
        <w:t xml:space="preserve">enum RiskTier {</w:t>
      </w:r>
      <w:r>
        <w:br/>
      </w:r>
      <w:r>
        <w:rPr>
          <w:rStyle w:val="VerbatimChar"/>
        </w:rPr>
        <w:t xml:space="preserve">    Standard,</w:t>
      </w:r>
      <w:r>
        <w:br/>
      </w:r>
      <w:r>
        <w:rPr>
          <w:rStyle w:val="VerbatimChar"/>
        </w:rPr>
        <w:t xml:space="preserve">    Enhanced,</w:t>
      </w:r>
      <w:r>
        <w:br/>
      </w:r>
      <w:r>
        <w:rPr>
          <w:rStyle w:val="VerbatimChar"/>
        </w:rPr>
        <w:t xml:space="preserve">    High,</w:t>
      </w:r>
      <w:r>
        <w:br/>
      </w:r>
      <w:r>
        <w:rPr>
          <w:rStyle w:val="VerbatimChar"/>
        </w:rPr>
        <w:t xml:space="preserve">    Critical,</w:t>
      </w:r>
      <w:r>
        <w:br/>
      </w:r>
      <w:r>
        <w:rPr>
          <w:rStyle w:val="VerbatimChar"/>
        </w:rPr>
        <w:t xml:space="preserve">}</w:t>
      </w:r>
      <w:r>
        <w:br/>
      </w:r>
      <w:r>
        <w:br/>
      </w:r>
      <w:r>
        <w:rPr>
          <w:rStyle w:val="VerbatimChar"/>
        </w:rPr>
        <w:t xml:space="preserve">linear struct Asset&lt;T&gt; {</w:t>
      </w:r>
      <w:r>
        <w:br/>
      </w:r>
      <w:r>
        <w:rPr>
          <w:rStyle w:val="VerbatimChar"/>
        </w:rPr>
        <w:t xml:space="preserve">    asset_id: Hash32;</w:t>
      </w:r>
      <w:r>
        <w:br/>
      </w:r>
      <w:r>
        <w:rPr>
          <w:rStyle w:val="VerbatimChar"/>
        </w:rPr>
        <w:t xml:space="preserve">    amount: UInt&lt;256&gt;;</w:t>
      </w:r>
      <w:r>
        <w:br/>
      </w:r>
      <w:r>
        <w:rPr>
          <w:rStyle w:val="VerbatimChar"/>
        </w:rPr>
        <w:t xml:space="preserve">}</w:t>
      </w:r>
    </w:p>
    <w:p>
      <w:pPr>
        <w:pStyle w:val="FirstParagraph"/>
      </w:pPr>
      <w:r>
        <w:t xml:space="preserve">A</w:t>
      </w:r>
      <w:r>
        <w:t xml:space="preserve"> </w:t>
      </w:r>
      <w:r>
        <w:rPr>
          <w:rStyle w:val="VerbatimChar"/>
        </w:rPr>
        <w:t xml:space="preserve">linear</w:t>
      </w:r>
      <w:r>
        <w:t xml:space="preserve"> </w:t>
      </w:r>
      <w:r>
        <w:t xml:space="preserve">value MUST be consumed exactly once by moving it into another owner, storing it, splitting it through an approved conservation operation, or destroying it through an explicitly authorized burn operation. Copying or silently dropping a linear value is a compile-time error.</w:t>
      </w:r>
    </w:p>
    <w:bookmarkEnd w:id="49"/>
    <w:bookmarkStart w:id="50" w:name="authority-and-capability-types"/>
    <w:p>
      <w:pPr>
        <w:pStyle w:val="Heading2"/>
      </w:pPr>
      <w:r>
        <w:t xml:space="preserve">2.4 Authority and Capability Types</w:t>
      </w:r>
    </w:p>
    <w:p>
      <w:pPr>
        <w:pStyle w:val="SourceCode"/>
      </w:pPr>
      <w:r>
        <w:rPr>
          <w:rStyle w:val="VerbatimChar"/>
        </w:rPr>
        <w:t xml:space="preserve">struct Capability&lt;Scope&gt; {</w:t>
      </w:r>
      <w:r>
        <w:br/>
      </w:r>
      <w:r>
        <w:rPr>
          <w:rStyle w:val="VerbatimChar"/>
        </w:rPr>
        <w:t xml:space="preserve">    capability_id: Hash32;</w:t>
      </w:r>
      <w:r>
        <w:br/>
      </w:r>
      <w:r>
        <w:rPr>
          <w:rStyle w:val="VerbatimChar"/>
        </w:rPr>
        <w:t xml:space="preserve">    subject: UMAIdentity;</w:t>
      </w:r>
      <w:r>
        <w:br/>
      </w:r>
      <w:r>
        <w:rPr>
          <w:rStyle w:val="VerbatimChar"/>
        </w:rPr>
        <w:t xml:space="preserve">    scope: Scope;</w:t>
      </w:r>
      <w:r>
        <w:br/>
      </w:r>
      <w:r>
        <w:rPr>
          <w:rStyle w:val="VerbatimChar"/>
        </w:rPr>
        <w:t xml:space="preserve">    not_before: Height;</w:t>
      </w:r>
      <w:r>
        <w:br/>
      </w:r>
      <w:r>
        <w:rPr>
          <w:rStyle w:val="VerbatimChar"/>
        </w:rPr>
        <w:t xml:space="preserve">    expiry_height: Height;</w:t>
      </w:r>
      <w:r>
        <w:br/>
      </w:r>
      <w:r>
        <w:rPr>
          <w:rStyle w:val="VerbatimChar"/>
        </w:rPr>
        <w:t xml:space="preserve">    delegation_depth_remaining: UInt&lt;8&gt;;</w:t>
      </w:r>
      <w:r>
        <w:br/>
      </w:r>
      <w:r>
        <w:rPr>
          <w:rStyle w:val="VerbatimChar"/>
        </w:rPr>
        <w:t xml:space="preserve">    policy_version: UInt&lt;32&gt;;</w:t>
      </w:r>
      <w:r>
        <w:br/>
      </w:r>
      <w:r>
        <w:rPr>
          <w:rStyle w:val="VerbatimChar"/>
        </w:rPr>
        <w:t xml:space="preserve">}</w:t>
      </w:r>
      <w:r>
        <w:br/>
      </w:r>
      <w:r>
        <w:br/>
      </w:r>
      <w:r>
        <w:rPr>
          <w:rStyle w:val="VerbatimChar"/>
        </w:rPr>
        <w:t xml:space="preserve">struct AuthorityEnvelope&lt;Scope&gt; {</w:t>
      </w:r>
      <w:r>
        <w:br/>
      </w:r>
      <w:r>
        <w:rPr>
          <w:rStyle w:val="VerbatimChar"/>
        </w:rPr>
        <w:t xml:space="preserve">    identity: UMAIdentity;</w:t>
      </w:r>
      <w:r>
        <w:br/>
      </w:r>
      <w:r>
        <w:rPr>
          <w:rStyle w:val="VerbatimChar"/>
        </w:rPr>
        <w:t xml:space="preserve">    identity_version: UInt&lt;64&gt;;</w:t>
      </w:r>
      <w:r>
        <w:br/>
      </w:r>
      <w:r>
        <w:rPr>
          <w:rStyle w:val="VerbatimChar"/>
        </w:rPr>
        <w:t xml:space="preserve">    recovery_state_hash: Hash32;</w:t>
      </w:r>
      <w:r>
        <w:br/>
      </w:r>
      <w:r>
        <w:rPr>
          <w:rStyle w:val="VerbatimChar"/>
        </w:rPr>
        <w:t xml:space="preserve">    capability: Capability&lt;Scope&gt;;</w:t>
      </w:r>
      <w:r>
        <w:br/>
      </w:r>
      <w:r>
        <w:rPr>
          <w:rStyle w:val="VerbatimChar"/>
        </w:rPr>
        <w:t xml:space="preserve">    contract: ContractId;</w:t>
      </w:r>
      <w:r>
        <w:br/>
      </w:r>
      <w:r>
        <w:rPr>
          <w:rStyle w:val="VerbatimChar"/>
        </w:rPr>
        <w:t xml:space="preserve">    selector: Bytes&lt;4&gt;;</w:t>
      </w:r>
      <w:r>
        <w:br/>
      </w:r>
      <w:r>
        <w:rPr>
          <w:rStyle w:val="VerbatimChar"/>
        </w:rPr>
        <w:t xml:space="preserve">    network_id: NetworkId;</w:t>
      </w:r>
      <w:r>
        <w:br/>
      </w:r>
      <w:r>
        <w:rPr>
          <w:rStyle w:val="VerbatimChar"/>
        </w:rPr>
        <w:t xml:space="preserve">    lane_id: LaneId;</w:t>
      </w:r>
      <w:r>
        <w:br/>
      </w:r>
      <w:r>
        <w:rPr>
          <w:rStyle w:val="VerbatimChar"/>
        </w:rPr>
        <w:t xml:space="preserve">    nonce: UInt&lt;64&gt;;</w:t>
      </w:r>
      <w:r>
        <w:br/>
      </w:r>
      <w:r>
        <w:rPr>
          <w:rStyle w:val="VerbatimChar"/>
        </w:rPr>
        <w:t xml:space="preserve">    expiry_height: Height;</w:t>
      </w:r>
      <w:r>
        <w:br/>
      </w:r>
      <w:r>
        <w:rPr>
          <w:rStyle w:val="VerbatimChar"/>
        </w:rPr>
        <w:t xml:space="preserve">    aegis_receipt: Bytes;</w:t>
      </w:r>
      <w:r>
        <w:br/>
      </w:r>
      <w:r>
        <w:rPr>
          <w:rStyle w:val="VerbatimChar"/>
        </w:rPr>
        <w:t xml:space="preserve">}</w:t>
      </w:r>
    </w:p>
    <w:p>
      <w:pPr>
        <w:pStyle w:val="FirstParagraph"/>
      </w:pPr>
      <w:r>
        <w:t xml:space="preserve">Capabilities are attenuable and non-amplifiable. A callee can receive a narrower capability, but it cannot increase value limits, add selectors, extend expiry, change subject, reset delegation depth, change network/lane, or erase recovery-state binding.</w:t>
      </w:r>
    </w:p>
    <w:bookmarkEnd w:id="50"/>
    <w:bookmarkStart w:id="51" w:name="verified-facts"/>
    <w:p>
      <w:pPr>
        <w:pStyle w:val="Heading2"/>
      </w:pPr>
      <w:r>
        <w:t xml:space="preserve">2.5 Verified Facts</w:t>
      </w:r>
    </w:p>
    <w:p>
      <w:pPr>
        <w:pStyle w:val="SourceCode"/>
      </w:pPr>
      <w:r>
        <w:rPr>
          <w:rStyle w:val="VerbatimChar"/>
        </w:rPr>
        <w:t xml:space="preserve">struct VerifiedFact&lt;T&gt; {</w:t>
      </w:r>
      <w:r>
        <w:br/>
      </w:r>
      <w:r>
        <w:rPr>
          <w:rStyle w:val="VerbatimChar"/>
        </w:rPr>
        <w:t xml:space="preserve">    fact_type: Hash32;</w:t>
      </w:r>
      <w:r>
        <w:br/>
      </w:r>
      <w:r>
        <w:rPr>
          <w:rStyle w:val="VerbatimChar"/>
        </w:rPr>
        <w:t xml:space="preserve">    payload: T;</w:t>
      </w:r>
      <w:r>
        <w:br/>
      </w:r>
      <w:r>
        <w:rPr>
          <w:rStyle w:val="VerbatimChar"/>
        </w:rPr>
        <w:t xml:space="preserve">    source_network: NetworkId;</w:t>
      </w:r>
      <w:r>
        <w:br/>
      </w:r>
      <w:r>
        <w:rPr>
          <w:rStyle w:val="VerbatimChar"/>
        </w:rPr>
        <w:t xml:space="preserve">    destination_network: NetworkId;</w:t>
      </w:r>
      <w:r>
        <w:br/>
      </w:r>
      <w:r>
        <w:rPr>
          <w:rStyle w:val="VerbatimChar"/>
        </w:rPr>
        <w:t xml:space="preserve">    adapter_version: UInt&lt;32&gt;;</w:t>
      </w:r>
      <w:r>
        <w:br/>
      </w:r>
      <w:r>
        <w:rPr>
          <w:rStyle w:val="VerbatimChar"/>
        </w:rPr>
        <w:t xml:space="preserve">    finalized_root: Hash32;</w:t>
      </w:r>
      <w:r>
        <w:br/>
      </w:r>
      <w:r>
        <w:rPr>
          <w:rStyle w:val="VerbatimChar"/>
        </w:rPr>
        <w:t xml:space="preserve">    proof_ref: Hash32;</w:t>
      </w:r>
      <w:r>
        <w:br/>
      </w:r>
      <w:r>
        <w:rPr>
          <w:rStyle w:val="VerbatimChar"/>
        </w:rPr>
        <w:t xml:space="preserve">    scope_hash: Hash32;</w:t>
      </w:r>
      <w:r>
        <w:br/>
      </w:r>
      <w:r>
        <w:rPr>
          <w:rStyle w:val="VerbatimChar"/>
        </w:rPr>
        <w:t xml:space="preserve">    nullifier: Hash32;</w:t>
      </w:r>
      <w:r>
        <w:br/>
      </w:r>
      <w:r>
        <w:rPr>
          <w:rStyle w:val="VerbatimChar"/>
        </w:rPr>
        <w:t xml:space="preserve">    expiry_height: Height;</w:t>
      </w:r>
      <w:r>
        <w:br/>
      </w:r>
      <w:r>
        <w:rPr>
          <w:rStyle w:val="VerbatimChar"/>
        </w:rPr>
        <w:t xml:space="preserve">}</w:t>
      </w:r>
    </w:p>
    <w:p>
      <w:pPr>
        <w:pStyle w:val="FirstParagraph"/>
      </w:pPr>
      <w:r>
        <w:t xml:space="preserve">A fact is immutable after verification. The VM validates its context and nullifier before contract code can inspect the payload. A contract may pattern-match on the typed payload but may not override finality, signature threshold, adapter version, or proof semantics.</w:t>
      </w:r>
    </w:p>
    <w:bookmarkEnd w:id="51"/>
    <w:bookmarkStart w:id="52" w:name="tensor-and-ai-types"/>
    <w:p>
      <w:pPr>
        <w:pStyle w:val="Heading2"/>
      </w:pPr>
      <w:r>
        <w:t xml:space="preserve">2.6 Tensor and AI Types</w:t>
      </w:r>
    </w:p>
    <w:p>
      <w:pPr>
        <w:pStyle w:val="FirstParagraph"/>
      </w:pPr>
      <w:r>
        <w:t xml:space="preserve">AIVM introduces bounded tensor, model, inference, and agent types. Shape dimensions and element types are compile-time constants for native deterministic inference.</w:t>
      </w:r>
    </w:p>
    <w:p>
      <w:pPr>
        <w:pStyle w:val="SourceCode"/>
      </w:pPr>
      <w:r>
        <w:rPr>
          <w:rStyle w:val="VerbatimChar"/>
        </w:rPr>
        <w:t xml:space="preserve">struct Tensor&lt;E, Shape&gt; {</w:t>
      </w:r>
      <w:r>
        <w:br/>
      </w:r>
      <w:r>
        <w:rPr>
          <w:rStyle w:val="VerbatimChar"/>
        </w:rPr>
        <w:t xml:space="preserve">    data_commitment: Hash32;</w:t>
      </w:r>
      <w:r>
        <w:br/>
      </w:r>
      <w:r>
        <w:rPr>
          <w:rStyle w:val="VerbatimChar"/>
        </w:rPr>
        <w:t xml:space="preserve">}</w:t>
      </w:r>
      <w:r>
        <w:br/>
      </w:r>
      <w:r>
        <w:br/>
      </w:r>
      <w:r>
        <w:rPr>
          <w:rStyle w:val="VerbatimChar"/>
        </w:rPr>
        <w:t xml:space="preserve">struct InferenceRequest&lt;I, O&gt; {</w:t>
      </w:r>
      <w:r>
        <w:br/>
      </w:r>
      <w:r>
        <w:rPr>
          <w:rStyle w:val="VerbatimChar"/>
        </w:rPr>
        <w:t xml:space="preserve">    request_id: Hash32;</w:t>
      </w:r>
      <w:r>
        <w:br/>
      </w:r>
      <w:r>
        <w:rPr>
          <w:rStyle w:val="VerbatimChar"/>
        </w:rPr>
        <w:t xml:space="preserve">    model: ModelId;</w:t>
      </w:r>
      <w:r>
        <w:br/>
      </w:r>
      <w:r>
        <w:rPr>
          <w:rStyle w:val="VerbatimChar"/>
        </w:rPr>
        <w:t xml:space="preserve">    mode: InferenceMode;</w:t>
      </w:r>
      <w:r>
        <w:br/>
      </w:r>
      <w:r>
        <w:rPr>
          <w:rStyle w:val="VerbatimChar"/>
        </w:rPr>
        <w:t xml:space="preserve">    input: I;</w:t>
      </w:r>
      <w:r>
        <w:br/>
      </w:r>
      <w:r>
        <w:rPr>
          <w:rStyle w:val="VerbatimChar"/>
        </w:rPr>
        <w:t xml:space="preserve">    input_commitment: Hash32;</w:t>
      </w:r>
      <w:r>
        <w:br/>
      </w:r>
      <w:r>
        <w:rPr>
          <w:rStyle w:val="VerbatimChar"/>
        </w:rPr>
        <w:t xml:space="preserve">    policy_profile: Hash32;</w:t>
      </w:r>
      <w:r>
        <w:br/>
      </w:r>
      <w:r>
        <w:rPr>
          <w:rStyle w:val="VerbatimChar"/>
        </w:rPr>
        <w:t xml:space="preserve">    max_ai_units: UInt&lt;64&gt;;</w:t>
      </w:r>
      <w:r>
        <w:br/>
      </w:r>
      <w:r>
        <w:rPr>
          <w:rStyle w:val="VerbatimChar"/>
        </w:rPr>
        <w:t xml:space="preserve">    expiry_height: Height;</w:t>
      </w:r>
      <w:r>
        <w:br/>
      </w:r>
      <w:r>
        <w:rPr>
          <w:rStyle w:val="VerbatimChar"/>
        </w:rPr>
        <w:t xml:space="preserve">}</w:t>
      </w:r>
      <w:r>
        <w:br/>
      </w:r>
      <w:r>
        <w:br/>
      </w:r>
      <w:r>
        <w:rPr>
          <w:rStyle w:val="VerbatimChar"/>
        </w:rPr>
        <w:t xml:space="preserve">struct InferenceReceipt&lt;O&gt; {</w:t>
      </w:r>
      <w:r>
        <w:br/>
      </w:r>
      <w:r>
        <w:rPr>
          <w:rStyle w:val="VerbatimChar"/>
        </w:rPr>
        <w:t xml:space="preserve">    request_id: Hash32;</w:t>
      </w:r>
      <w:r>
        <w:br/>
      </w:r>
      <w:r>
        <w:rPr>
          <w:rStyle w:val="VerbatimChar"/>
        </w:rPr>
        <w:t xml:space="preserve">    model: ModelId;</w:t>
      </w:r>
      <w:r>
        <w:br/>
      </w:r>
      <w:r>
        <w:rPr>
          <w:rStyle w:val="VerbatimChar"/>
        </w:rPr>
        <w:t xml:space="preserve">    model_digest: Hash32;</w:t>
      </w:r>
      <w:r>
        <w:br/>
      </w:r>
      <w:r>
        <w:rPr>
          <w:rStyle w:val="VerbatimChar"/>
        </w:rPr>
        <w:t xml:space="preserve">    runtime_digest: Hash32;</w:t>
      </w:r>
      <w:r>
        <w:br/>
      </w:r>
      <w:r>
        <w:rPr>
          <w:rStyle w:val="VerbatimChar"/>
        </w:rPr>
        <w:t xml:space="preserve">    input_commitment: Hash32;</w:t>
      </w:r>
      <w:r>
        <w:br/>
      </w:r>
      <w:r>
        <w:rPr>
          <w:rStyle w:val="VerbatimChar"/>
        </w:rPr>
        <w:t xml:space="preserve">    output: O;</w:t>
      </w:r>
      <w:r>
        <w:br/>
      </w:r>
      <w:r>
        <w:rPr>
          <w:rStyle w:val="VerbatimChar"/>
        </w:rPr>
        <w:t xml:space="preserve">    output_digest: Hash32;</w:t>
      </w:r>
      <w:r>
        <w:br/>
      </w:r>
      <w:r>
        <w:rPr>
          <w:rStyle w:val="VerbatimChar"/>
        </w:rPr>
        <w:t xml:space="preserve">    mode: InferenceMode;</w:t>
      </w:r>
      <w:r>
        <w:br/>
      </w:r>
      <w:r>
        <w:rPr>
          <w:rStyle w:val="VerbatimChar"/>
        </w:rPr>
        <w:t xml:space="preserve">    ai_units_used: UInt&lt;64&gt;;</w:t>
      </w:r>
      <w:r>
        <w:br/>
      </w:r>
      <w:r>
        <w:rPr>
          <w:rStyle w:val="VerbatimChar"/>
        </w:rPr>
        <w:t xml:space="preserve">    proof_or_attestation: Bytes;</w:t>
      </w:r>
      <w:r>
        <w:br/>
      </w:r>
      <w:r>
        <w:rPr>
          <w:rStyle w:val="VerbatimChar"/>
        </w:rPr>
        <w:t xml:space="preserve">    verifier_profile: Hash32;</w:t>
      </w:r>
      <w:r>
        <w:br/>
      </w:r>
      <w:r>
        <w:rPr>
          <w:rStyle w:val="VerbatimChar"/>
        </w:rPr>
        <w:t xml:space="preserve">}</w:t>
      </w:r>
    </w:p>
    <w:p>
      <w:pPr>
        <w:pStyle w:val="FirstParagraph"/>
      </w:pPr>
      <w:r>
        <w:t xml:space="preserve">Native deterministic tensor element types are limited to approved integers and fixed-point formats. Shapes, operator graphs, quantization parameters, rounding modes, saturation behavior, and preprocessing are part of the model identity.</w:t>
      </w:r>
    </w:p>
    <w:bookmarkEnd w:id="52"/>
    <w:bookmarkStart w:id="53" w:name="functions-and-attributes"/>
    <w:p>
      <w:pPr>
        <w:pStyle w:val="Heading2"/>
      </w:pPr>
      <w:r>
        <w:t xml:space="preserve">2.7 Functions and Attributes</w:t>
      </w:r>
    </w:p>
    <w:p>
      <w:pPr>
        <w:pStyle w:val="FirstParagraph"/>
      </w:pPr>
      <w:r>
        <w:t xml:space="preserve">A public function declares authority, effects, preconditions, postconditions, failure types, resource bounds, manifest information, and optional AI requirements.</w:t>
      </w:r>
    </w:p>
    <w:p>
      <w:pPr>
        <w:pStyle w:val="SourceCode"/>
      </w:pPr>
      <w:r>
        <w:rPr>
          <w:rStyle w:val="VerbatimChar"/>
        </w:rPr>
        <w:t xml:space="preserve">@public</w:t>
      </w:r>
      <w:r>
        <w:br/>
      </w:r>
      <w:r>
        <w:rPr>
          <w:rStyle w:val="VerbatimChar"/>
        </w:rPr>
        <w:t xml:space="preserve">@authority(TreasurySpend{max_amount: 50_000 * SNRG})</w:t>
      </w:r>
      <w:r>
        <w:br/>
      </w:r>
      <w:r>
        <w:rPr>
          <w:rStyle w:val="VerbatimChar"/>
        </w:rPr>
        <w:t xml:space="preserve">@effects(read: [reserve, risk_model], write: [reserve], emit: [TransferQueued])</w:t>
      </w:r>
      <w:r>
        <w:br/>
      </w:r>
      <w:r>
        <w:rPr>
          <w:rStyle w:val="VerbatimChar"/>
        </w:rPr>
        <w:t xml:space="preserve">@requires(intent.expiry_height &gt;= context.finalized_height)</w:t>
      </w:r>
      <w:r>
        <w:br/>
      </w:r>
      <w:r>
        <w:rPr>
          <w:rStyle w:val="VerbatimChar"/>
        </w:rPr>
        <w:t xml:space="preserve">@ensures(reserve.amount() == old(reserve.amount()) - intent.amount)</w:t>
      </w:r>
      <w:r>
        <w:br/>
      </w:r>
      <w:r>
        <w:rPr>
          <w:rStyle w:val="VerbatimChar"/>
        </w:rPr>
        <w:t xml:space="preserve">@fails(ExpiredIntent, InsufficientReserve, RiskEscalationRequired)</w:t>
      </w:r>
      <w:r>
        <w:br/>
      </w:r>
      <w:r>
        <w:rPr>
          <w:rStyle w:val="VerbatimChar"/>
        </w:rPr>
        <w:t xml:space="preserve">@bounded(execution_units: 240_000, storage_writes: 4, events: 2)</w:t>
      </w:r>
      <w:r>
        <w:br/>
      </w:r>
      <w:r>
        <w:rPr>
          <w:rStyle w:val="VerbatimChar"/>
        </w:rPr>
        <w:t xml:space="preserve">@manifest("Queue an SNRG transfer after deterministic risk evaluation")</w:t>
      </w:r>
      <w:r>
        <w:br/>
      </w:r>
      <w:r>
        <w:rPr>
          <w:rStyle w:val="VerbatimChar"/>
        </w:rPr>
        <w:t xml:space="preserve">function queue_transfer(</w:t>
      </w:r>
      <w:r>
        <w:br/>
      </w:r>
      <w:r>
        <w:rPr>
          <w:rStyle w:val="VerbatimChar"/>
        </w:rPr>
        <w:t xml:space="preserve">    auth: AuthorityEnvelope&lt;TreasurySpend&gt;,</w:t>
      </w:r>
      <w:r>
        <w:br/>
      </w:r>
      <w:r>
        <w:rPr>
          <w:rStyle w:val="VerbatimChar"/>
        </w:rPr>
        <w:t xml:space="preserve">    intent: PaymentIntent,</w:t>
      </w:r>
      <w:r>
        <w:br/>
      </w:r>
      <w:r>
        <w:rPr>
          <w:rStyle w:val="VerbatimChar"/>
        </w:rPr>
        <w:t xml:space="preserve">) -&gt; Result&lt;Hash32, TransferError&gt; {</w:t>
      </w:r>
      <w:r>
        <w:br/>
      </w:r>
      <w:r>
        <w:rPr>
          <w:rStyle w:val="VerbatimChar"/>
        </w:rPr>
        <w:t xml:space="preserve">    // body</w:t>
      </w:r>
      <w:r>
        <w:br/>
      </w:r>
      <w:r>
        <w:rPr>
          <w:rStyle w:val="VerbatimChar"/>
        </w:rPr>
        <w:t xml:space="preserve">}</w:t>
      </w:r>
    </w:p>
    <w:p>
      <w:pPr>
        <w:pStyle w:val="FirstParagraph"/>
      </w:pPr>
      <w:r>
        <w:t xml:space="preserve">Predefined attributes include:</w:t>
      </w:r>
    </w:p>
    <w:p>
      <w:pPr>
        <w:pStyle w:val="Compact"/>
        <w:numPr>
          <w:ilvl w:val="0"/>
          <w:numId w:val="1008"/>
        </w:numPr>
      </w:pPr>
      <w:r>
        <w:rPr>
          <w:rStyle w:val="VerbatimChar"/>
        </w:rPr>
        <w:t xml:space="preserve">@public</w:t>
      </w:r>
      <w:r>
        <w:t xml:space="preserve">,</w:t>
      </w:r>
      <w:r>
        <w:t xml:space="preserve"> </w:t>
      </w:r>
      <w:r>
        <w:rPr>
          <w:rStyle w:val="VerbatimChar"/>
        </w:rPr>
        <w:t xml:space="preserve">@internal</w:t>
      </w:r>
      <w:r>
        <w:t xml:space="preserve">, and</w:t>
      </w:r>
      <w:r>
        <w:t xml:space="preserve"> </w:t>
      </w:r>
      <w:r>
        <w:rPr>
          <w:rStyle w:val="VerbatimChar"/>
        </w:rPr>
        <w:t xml:space="preserve">@system</w:t>
      </w:r>
      <w:r>
        <w:t xml:space="preserve">;</w:t>
      </w:r>
    </w:p>
    <w:p>
      <w:pPr>
        <w:pStyle w:val="Compact"/>
        <w:numPr>
          <w:ilvl w:val="0"/>
          <w:numId w:val="1008"/>
        </w:numPr>
      </w:pPr>
      <w:r>
        <w:rPr>
          <w:rStyle w:val="VerbatimChar"/>
        </w:rPr>
        <w:t xml:space="preserve">@authority(...)</w:t>
      </w:r>
      <w:r>
        <w:t xml:space="preserve">;</w:t>
      </w:r>
    </w:p>
    <w:p>
      <w:pPr>
        <w:pStyle w:val="Compact"/>
        <w:numPr>
          <w:ilvl w:val="0"/>
          <w:numId w:val="1008"/>
        </w:numPr>
      </w:pPr>
      <w:r>
        <w:rPr>
          <w:rStyle w:val="VerbatimChar"/>
        </w:rPr>
        <w:t xml:space="preserve">@effects(read: ..., write: ..., emit: ..., facts: ..., models: ...)</w:t>
      </w:r>
      <w:r>
        <w:t xml:space="preserve">;</w:t>
      </w:r>
    </w:p>
    <w:p>
      <w:pPr>
        <w:pStyle w:val="Compact"/>
        <w:numPr>
          <w:ilvl w:val="0"/>
          <w:numId w:val="1008"/>
        </w:numPr>
      </w:pPr>
      <w:r>
        <w:rPr>
          <w:rStyle w:val="VerbatimChar"/>
        </w:rPr>
        <w:t xml:space="preserve">@requires(...)</w:t>
      </w:r>
      <w:r>
        <w:t xml:space="preserve">,</w:t>
      </w:r>
      <w:r>
        <w:t xml:space="preserve"> </w:t>
      </w:r>
      <w:r>
        <w:rPr>
          <w:rStyle w:val="VerbatimChar"/>
        </w:rPr>
        <w:t xml:space="preserve">@ensures(...)</w:t>
      </w:r>
      <w:r>
        <w:t xml:space="preserve">, and</w:t>
      </w:r>
      <w:r>
        <w:t xml:space="preserve"> </w:t>
      </w:r>
      <w:r>
        <w:rPr>
          <w:rStyle w:val="VerbatimChar"/>
        </w:rPr>
        <w:t xml:space="preserve">@invariant(...)</w:t>
      </w:r>
      <w:r>
        <w:t xml:space="preserve">;</w:t>
      </w:r>
    </w:p>
    <w:p>
      <w:pPr>
        <w:pStyle w:val="Compact"/>
        <w:numPr>
          <w:ilvl w:val="0"/>
          <w:numId w:val="1008"/>
        </w:numPr>
      </w:pPr>
      <w:r>
        <w:rPr>
          <w:rStyle w:val="VerbatimChar"/>
        </w:rPr>
        <w:t xml:space="preserve">@fails(...)</w:t>
      </w:r>
      <w:r>
        <w:t xml:space="preserve">;</w:t>
      </w:r>
    </w:p>
    <w:p>
      <w:pPr>
        <w:pStyle w:val="Compact"/>
        <w:numPr>
          <w:ilvl w:val="0"/>
          <w:numId w:val="1008"/>
        </w:numPr>
      </w:pPr>
      <w:r>
        <w:rPr>
          <w:rStyle w:val="VerbatimChar"/>
        </w:rPr>
        <w:t xml:space="preserve">@bounded(...)</w:t>
      </w:r>
      <w:r>
        <w:t xml:space="preserve">;</w:t>
      </w:r>
    </w:p>
    <w:p>
      <w:pPr>
        <w:pStyle w:val="Compact"/>
        <w:numPr>
          <w:ilvl w:val="0"/>
          <w:numId w:val="1008"/>
        </w:numPr>
      </w:pPr>
      <w:r>
        <w:rPr>
          <w:rStyle w:val="VerbatimChar"/>
        </w:rPr>
        <w:t xml:space="preserve">@manifest(...)</w:t>
      </w:r>
      <w:r>
        <w:t xml:space="preserve">;</w:t>
      </w:r>
    </w:p>
    <w:p>
      <w:pPr>
        <w:pStyle w:val="Compact"/>
        <w:numPr>
          <w:ilvl w:val="0"/>
          <w:numId w:val="1008"/>
        </w:numPr>
      </w:pPr>
      <w:r>
        <w:rPr>
          <w:rStyle w:val="VerbatimChar"/>
        </w:rPr>
        <w:t xml:space="preserve">@ai(mode: ..., model: ..., max_ai_units: ..., safety: ...)</w:t>
      </w:r>
      <w:r>
        <w:t xml:space="preserve">;</w:t>
      </w:r>
    </w:p>
    <w:p>
      <w:pPr>
        <w:pStyle w:val="Compact"/>
        <w:numPr>
          <w:ilvl w:val="0"/>
          <w:numId w:val="1008"/>
        </w:numPr>
      </w:pPr>
      <w:r>
        <w:rPr>
          <w:rStyle w:val="VerbatimChar"/>
        </w:rPr>
        <w:t xml:space="preserve">@external_fact(...)</w:t>
      </w:r>
      <w:r>
        <w:t xml:space="preserve">;</w:t>
      </w:r>
    </w:p>
    <w:p>
      <w:pPr>
        <w:pStyle w:val="Compact"/>
        <w:numPr>
          <w:ilvl w:val="0"/>
          <w:numId w:val="1008"/>
        </w:numPr>
      </w:pPr>
      <w:r>
        <w:rPr>
          <w:rStyle w:val="VerbatimChar"/>
        </w:rPr>
        <w:t xml:space="preserve">@upgrade(...)</w:t>
      </w:r>
      <w:r>
        <w:t xml:space="preserve">; and</w:t>
      </w:r>
    </w:p>
    <w:p>
      <w:pPr>
        <w:pStyle w:val="Compact"/>
        <w:numPr>
          <w:ilvl w:val="0"/>
          <w:numId w:val="1008"/>
        </w:numPr>
      </w:pPr>
      <w:r>
        <w:rPr>
          <w:rStyle w:val="VerbatimChar"/>
        </w:rPr>
        <w:t xml:space="preserve">@deprecated(after_height: ...)</w:t>
      </w:r>
      <w:r>
        <w:t xml:space="preserve">.</w:t>
      </w:r>
    </w:p>
    <w:bookmarkEnd w:id="53"/>
    <w:bookmarkStart w:id="54" w:name="effect-system"/>
    <w:p>
      <w:pPr>
        <w:pStyle w:val="Heading2"/>
      </w:pPr>
      <w:r>
        <w:t xml:space="preserve">2.8 Effect System</w:t>
      </w:r>
    </w:p>
    <w:p>
      <w:pPr>
        <w:pStyle w:val="FirstParagraph"/>
      </w:pPr>
      <w:r>
        <w:t xml:space="preserve">Every function has an inferred and declared effect set. Compilation fails when inference finds an undeclared effect or when a callee’s effects exceed the caller’s admitted scope.</w:t>
      </w:r>
    </w:p>
    <w:p>
      <w:pPr>
        <w:pStyle w:val="BodyText"/>
      </w:pPr>
      <w:r>
        <w:t xml:space="preserve">Effect categories include:</w:t>
      </w:r>
    </w:p>
    <w:p>
      <w:pPr>
        <w:pStyle w:val="Compact"/>
        <w:numPr>
          <w:ilvl w:val="0"/>
          <w:numId w:val="1009"/>
        </w:numPr>
      </w:pPr>
      <w:r>
        <w:t xml:space="preserve">state reads and writes;</w:t>
      </w:r>
    </w:p>
    <w:p>
      <w:pPr>
        <w:pStyle w:val="Compact"/>
        <w:numPr>
          <w:ilvl w:val="0"/>
          <w:numId w:val="1009"/>
        </w:numPr>
      </w:pPr>
      <w:r>
        <w:t xml:space="preserve">event emission;</w:t>
      </w:r>
    </w:p>
    <w:p>
      <w:pPr>
        <w:pStyle w:val="Compact"/>
        <w:numPr>
          <w:ilvl w:val="0"/>
          <w:numId w:val="1009"/>
        </w:numPr>
      </w:pPr>
      <w:r>
        <w:t xml:space="preserve">asset movement, mint, burn, lock, and release;</w:t>
      </w:r>
    </w:p>
    <w:p>
      <w:pPr>
        <w:pStyle w:val="Compact"/>
        <w:numPr>
          <w:ilvl w:val="0"/>
          <w:numId w:val="1009"/>
        </w:numPr>
      </w:pPr>
      <w:r>
        <w:t xml:space="preserve">authority checks and capability attenuation;</w:t>
      </w:r>
    </w:p>
    <w:p>
      <w:pPr>
        <w:pStyle w:val="Compact"/>
        <w:numPr>
          <w:ilvl w:val="0"/>
          <w:numId w:val="1009"/>
        </w:numPr>
      </w:pPr>
      <w:r>
        <w:t xml:space="preserve">verified-fact consumption;</w:t>
      </w:r>
    </w:p>
    <w:p>
      <w:pPr>
        <w:pStyle w:val="Compact"/>
        <w:numPr>
          <w:ilvl w:val="0"/>
          <w:numId w:val="1009"/>
        </w:numPr>
      </w:pPr>
      <w:r>
        <w:t xml:space="preserve">Aegis verification;</w:t>
      </w:r>
    </w:p>
    <w:p>
      <w:pPr>
        <w:pStyle w:val="Compact"/>
        <w:numPr>
          <w:ilvl w:val="0"/>
          <w:numId w:val="1009"/>
        </w:numPr>
      </w:pPr>
      <w:r>
        <w:t xml:space="preserve">native AI inference, proof verification, attested-receipt admission, and advisory calls;</w:t>
      </w:r>
    </w:p>
    <w:p>
      <w:pPr>
        <w:pStyle w:val="Compact"/>
        <w:numPr>
          <w:ilvl w:val="0"/>
          <w:numId w:val="1009"/>
        </w:numPr>
      </w:pPr>
      <w:r>
        <w:t xml:space="preserve">contract calls; and</w:t>
      </w:r>
    </w:p>
    <w:p>
      <w:pPr>
        <w:pStyle w:val="Compact"/>
        <w:numPr>
          <w:ilvl w:val="0"/>
          <w:numId w:val="1009"/>
        </w:numPr>
      </w:pPr>
      <w:r>
        <w:t xml:space="preserve">governance- or system-module invocation.</w:t>
      </w:r>
    </w:p>
    <w:p>
      <w:pPr>
        <w:pStyle w:val="FirstParagraph"/>
      </w:pPr>
      <w:r>
        <w:t xml:space="preserve">AI effects are explicit. A function that calls a model cannot be presented as a pure arithmetic function, and a function that accepts an attested AI receipt cannot silently substitute a different model or policy profile.</w:t>
      </w:r>
    </w:p>
    <w:bookmarkEnd w:id="54"/>
    <w:bookmarkStart w:id="55" w:name="control-flow-and-termination"/>
    <w:p>
      <w:pPr>
        <w:pStyle w:val="Heading2"/>
      </w:pPr>
      <w:r>
        <w:t xml:space="preserve">2.9 Control Flow and Termination</w:t>
      </w:r>
    </w:p>
    <w:p>
      <w:pPr>
        <w:pStyle w:val="FirstParagraph"/>
      </w:pPr>
      <w:r>
        <w:t xml:space="preserve">Loops require a statically provable bound or a bound derived from a bounded collection. Recursion is prohibited in mainnet profiles unless the compiler proves a finite structural descent and a maximum depth below the active runtime limit.</w:t>
      </w:r>
    </w:p>
    <w:p>
      <w:pPr>
        <w:pStyle w:val="SourceCode"/>
      </w:pPr>
      <w:r>
        <w:rPr>
          <w:rStyle w:val="VerbatimChar"/>
        </w:rPr>
        <w:t xml:space="preserve">@bounded(iterations: 64)</w:t>
      </w:r>
      <w:r>
        <w:br/>
      </w:r>
      <w:r>
        <w:rPr>
          <w:rStyle w:val="VerbatimChar"/>
        </w:rPr>
        <w:t xml:space="preserve">for member in members.take(64) {</w:t>
      </w:r>
      <w:r>
        <w:br/>
      </w:r>
      <w:r>
        <w:rPr>
          <w:rStyle w:val="VerbatimChar"/>
        </w:rPr>
        <w:t xml:space="preserve">    total = checked_add(total, member.weight)?;</w:t>
      </w:r>
      <w:r>
        <w:br/>
      </w:r>
      <w:r>
        <w:rPr>
          <w:rStyle w:val="VerbatimChar"/>
        </w:rPr>
        <w:t xml:space="preserve">}</w:t>
      </w:r>
    </w:p>
    <w:p>
      <w:pPr>
        <w:pStyle w:val="FirstParagraph"/>
      </w:pPr>
      <w:r>
        <w:t xml:space="preserve">Dynamic dispatch is limited to sealed interface tables with canonical ordering. Unbounded reflection, self-modifying code, and runtime import are prohibited.</w:t>
      </w:r>
    </w:p>
    <w:bookmarkEnd w:id="55"/>
    <w:bookmarkStart w:id="56" w:name="memory-storage-and-transient-state"/>
    <w:p>
      <w:pPr>
        <w:pStyle w:val="Heading2"/>
      </w:pPr>
      <w:r>
        <w:t xml:space="preserve">2.10 Memory, Storage, and Transient State</w:t>
      </w:r>
    </w:p>
    <w:p>
      <w:pPr>
        <w:pStyle w:val="FirstParagraph"/>
      </w:pPr>
      <w:r>
        <w:t xml:space="preserve">Memory is invocation-local and bounds-checked. Transient state is transaction-local and journaled. Storage is persistent and namespaced by contract identity and declared state domain. A contract cannot compute another contract’s raw storage key or read execution-host memory.</w:t>
      </w:r>
    </w:p>
    <w:p>
      <w:pPr>
        <w:pStyle w:val="BodyText"/>
      </w:pPr>
      <w:r>
        <w:t xml:space="preserve">State writes are staged in a nested journal. Events are staged with the same savepoint semantics. On failure, every write, event, asset movement, and consumed fact after the relevant savepoint is discarded.</w:t>
      </w:r>
    </w:p>
    <w:bookmarkEnd w:id="56"/>
    <w:bookmarkStart w:id="57" w:name="error-semantics"/>
    <w:p>
      <w:pPr>
        <w:pStyle w:val="Heading2"/>
      </w:pPr>
      <w:r>
        <w:t xml:space="preserve">2.11 Error Semantics</w:t>
      </w:r>
    </w:p>
    <w:p>
      <w:pPr>
        <w:pStyle w:val="FirstParagraph"/>
      </w:pPr>
      <w:r>
        <w:t xml:space="preserve">Functions return typed</w:t>
      </w:r>
      <w:r>
        <w:t xml:space="preserve"> </w:t>
      </w:r>
      <w:r>
        <w:rPr>
          <w:rStyle w:val="VerbatimChar"/>
        </w:rPr>
        <w:t xml:space="preserve">Result&lt;T,E&gt;</w:t>
      </w:r>
      <w:r>
        <w:t xml:space="preserve"> </w:t>
      </w:r>
      <w:r>
        <w:t xml:space="preserve">values or fail with a declared error. Panics, host exceptions, illegal bytecode, arithmetic faults, proof failures, AI policy violations, resource exhaustion, and state-journal failures are converted into deterministic runtime failures. Error codes and ordering are canonical.</w:t>
      </w:r>
    </w:p>
    <w:p>
      <w:pPr>
        <w:pStyle w:val="BodyText"/>
      </w:pPr>
      <w:r>
        <w:t xml:space="preserve">A failed transaction produces no persistent writes or events. Resource units consumed before failure remain chargeable according to the active schedule.</w:t>
      </w:r>
    </w:p>
    <w:bookmarkEnd w:id="57"/>
    <w:bookmarkStart w:id="58" w:name="formal-judgments"/>
    <w:p>
      <w:pPr>
        <w:pStyle w:val="Heading2"/>
      </w:pPr>
      <w:r>
        <w:t xml:space="preserve">2.12 Formal Judgments</w:t>
      </w:r>
    </w:p>
    <w:p>
      <w:pPr>
        <w:pStyle w:val="FirstParagraph"/>
      </w:pPr>
      <w:r>
        <w:t xml:space="preserve">The principal judgments are:</w:t>
      </w:r>
    </w:p>
    <w:p>
      <w:pPr>
        <w:pStyle w:val="Compact"/>
        <w:numPr>
          <w:ilvl w:val="0"/>
          <w:numId w:val="1010"/>
        </w:numPr>
      </w:pPr>
      <w:r>
        <w:rPr>
          <w:rStyle w:val="VerbatimChar"/>
        </w:rPr>
        <w:t xml:space="preserve">Γ; A; E ⊢ e : T</w:t>
      </w:r>
      <w:r>
        <w:t xml:space="preserve"> </w:t>
      </w:r>
      <w:r>
        <w:t xml:space="preserve">— expression</w:t>
      </w:r>
      <w:r>
        <w:t xml:space="preserve"> </w:t>
      </w:r>
      <w:r>
        <w:rPr>
          <w:rStyle w:val="VerbatimChar"/>
        </w:rPr>
        <w:t xml:space="preserve">e</w:t>
      </w:r>
      <w:r>
        <w:t xml:space="preserve"> </w:t>
      </w:r>
      <w:r>
        <w:t xml:space="preserve">has type</w:t>
      </w:r>
      <w:r>
        <w:t xml:space="preserve"> </w:t>
      </w:r>
      <w:r>
        <w:rPr>
          <w:rStyle w:val="VerbatimChar"/>
        </w:rPr>
        <w:t xml:space="preserve">T</w:t>
      </w:r>
      <w:r>
        <w:t xml:space="preserve"> </w:t>
      </w:r>
      <w:r>
        <w:t xml:space="preserve">under type environment</w:t>
      </w:r>
      <w:r>
        <w:t xml:space="preserve"> </w:t>
      </w:r>
      <w:r>
        <w:rPr>
          <w:rStyle w:val="VerbatimChar"/>
        </w:rPr>
        <w:t xml:space="preserve">Γ</w:t>
      </w:r>
      <w:r>
        <w:t xml:space="preserve">, authority environment</w:t>
      </w:r>
      <w:r>
        <w:t xml:space="preserve"> </w:t>
      </w:r>
      <w:r>
        <w:rPr>
          <w:rStyle w:val="VerbatimChar"/>
        </w:rPr>
        <w:t xml:space="preserve">A</w:t>
      </w:r>
      <w:r>
        <w:t xml:space="preserve">, and effect environment</w:t>
      </w:r>
      <w:r>
        <w:t xml:space="preserve"> </w:t>
      </w:r>
      <w:r>
        <w:rPr>
          <w:rStyle w:val="VerbatimChar"/>
        </w:rPr>
        <w:t xml:space="preserve">E</w:t>
      </w:r>
      <w:r>
        <w:t xml:space="preserve">;</w:t>
      </w:r>
    </w:p>
    <w:p>
      <w:pPr>
        <w:pStyle w:val="Compact"/>
        <w:numPr>
          <w:ilvl w:val="0"/>
          <w:numId w:val="1010"/>
        </w:numPr>
      </w:pPr>
      <w:r>
        <w:rPr>
          <w:rStyle w:val="VerbatimChar"/>
        </w:rPr>
        <w:t xml:space="preserve">Σ ⊢ s ⇒ Σ' | r</w:t>
      </w:r>
      <w:r>
        <w:t xml:space="preserve"> </w:t>
      </w:r>
      <w:r>
        <w:t xml:space="preserve">— statement execution transforms machine state</w:t>
      </w:r>
      <w:r>
        <w:t xml:space="preserve"> </w:t>
      </w:r>
      <w:r>
        <w:rPr>
          <w:rStyle w:val="VerbatimChar"/>
        </w:rPr>
        <w:t xml:space="preserve">Σ</w:t>
      </w:r>
      <w:r>
        <w:t xml:space="preserve"> </w:t>
      </w:r>
      <w:r>
        <w:t xml:space="preserve">to</w:t>
      </w:r>
      <w:r>
        <w:t xml:space="preserve"> </w:t>
      </w:r>
      <w:r>
        <w:rPr>
          <w:rStyle w:val="VerbatimChar"/>
        </w:rPr>
        <w:t xml:space="preserve">Σ'</w:t>
      </w:r>
      <w:r>
        <w:t xml:space="preserve"> </w:t>
      </w:r>
      <w:r>
        <w:t xml:space="preserve">and result</w:t>
      </w:r>
      <w:r>
        <w:t xml:space="preserve"> </w:t>
      </w:r>
      <w:r>
        <w:rPr>
          <w:rStyle w:val="VerbatimChar"/>
        </w:rPr>
        <w:t xml:space="preserve">r</w:t>
      </w:r>
      <w:r>
        <w:t xml:space="preserve">;</w:t>
      </w:r>
    </w:p>
    <w:p>
      <w:pPr>
        <w:pStyle w:val="Compact"/>
        <w:numPr>
          <w:ilvl w:val="0"/>
          <w:numId w:val="1010"/>
        </w:numPr>
      </w:pPr>
      <w:r>
        <w:rPr>
          <w:rStyle w:val="VerbatimChar"/>
        </w:rPr>
        <w:t xml:space="preserve">A ⊢ cap_1 ⪯ cap_0</w:t>
      </w:r>
      <w:r>
        <w:t xml:space="preserve"> </w:t>
      </w:r>
      <w:r>
        <w:t xml:space="preserve">— capability</w:t>
      </w:r>
      <w:r>
        <w:t xml:space="preserve"> </w:t>
      </w:r>
      <w:r>
        <w:rPr>
          <w:rStyle w:val="VerbatimChar"/>
        </w:rPr>
        <w:t xml:space="preserve">cap_1</w:t>
      </w:r>
      <w:r>
        <w:t xml:space="preserve"> </w:t>
      </w:r>
      <w:r>
        <w:t xml:space="preserve">is a valid attenuation of</w:t>
      </w:r>
      <w:r>
        <w:t xml:space="preserve"> </w:t>
      </w:r>
      <w:r>
        <w:rPr>
          <w:rStyle w:val="VerbatimChar"/>
        </w:rPr>
        <w:t xml:space="preserve">cap_0</w:t>
      </w:r>
      <w:r>
        <w:t xml:space="preserve">;</w:t>
      </w:r>
    </w:p>
    <w:p>
      <w:pPr>
        <w:pStyle w:val="Compact"/>
        <w:numPr>
          <w:ilvl w:val="0"/>
          <w:numId w:val="1010"/>
        </w:numPr>
      </w:pPr>
      <w:r>
        <w:rPr>
          <w:rStyle w:val="VerbatimChar"/>
        </w:rPr>
        <w:t xml:space="preserve">F ⊢ fact valid @ ctx</w:t>
      </w:r>
      <w:r>
        <w:t xml:space="preserve"> </w:t>
      </w:r>
      <w:r>
        <w:t xml:space="preserve">— a verified fact is valid in invocation context</w:t>
      </w:r>
      <w:r>
        <w:t xml:space="preserve"> </w:t>
      </w:r>
      <w:r>
        <w:rPr>
          <w:rStyle w:val="VerbatimChar"/>
        </w:rPr>
        <w:t xml:space="preserve">ctx</w:t>
      </w:r>
      <w:r>
        <w:t xml:space="preserve">;</w:t>
      </w:r>
    </w:p>
    <w:p>
      <w:pPr>
        <w:pStyle w:val="Compact"/>
        <w:numPr>
          <w:ilvl w:val="0"/>
          <w:numId w:val="1010"/>
        </w:numPr>
      </w:pPr>
      <w:r>
        <w:rPr>
          <w:rStyle w:val="VerbatimChar"/>
        </w:rPr>
        <w:t xml:space="preserve">M; R; I; P ⊢ y</w:t>
      </w:r>
      <w:r>
        <w:t xml:space="preserve"> </w:t>
      </w:r>
      <w:r>
        <w:t xml:space="preserve">— model</w:t>
      </w:r>
      <w:r>
        <w:t xml:space="preserve"> </w:t>
      </w:r>
      <w:r>
        <w:rPr>
          <w:rStyle w:val="VerbatimChar"/>
        </w:rPr>
        <w:t xml:space="preserve">M</w:t>
      </w:r>
      <w:r>
        <w:t xml:space="preserve">, runtime</w:t>
      </w:r>
      <w:r>
        <w:t xml:space="preserve"> </w:t>
      </w:r>
      <w:r>
        <w:rPr>
          <w:rStyle w:val="VerbatimChar"/>
        </w:rPr>
        <w:t xml:space="preserve">R</w:t>
      </w:r>
      <w:r>
        <w:t xml:space="preserve">, input commitment</w:t>
      </w:r>
      <w:r>
        <w:t xml:space="preserve"> </w:t>
      </w:r>
      <w:r>
        <w:rPr>
          <w:rStyle w:val="VerbatimChar"/>
        </w:rPr>
        <w:t xml:space="preserve">I</w:t>
      </w:r>
      <w:r>
        <w:t xml:space="preserve">, and policy</w:t>
      </w:r>
      <w:r>
        <w:t xml:space="preserve"> </w:t>
      </w:r>
      <w:r>
        <w:rPr>
          <w:rStyle w:val="VerbatimChar"/>
        </w:rPr>
        <w:t xml:space="preserve">P</w:t>
      </w:r>
      <w:r>
        <w:t xml:space="preserve"> </w:t>
      </w:r>
      <w:r>
        <w:t xml:space="preserve">justify output</w:t>
      </w:r>
      <w:r>
        <w:t xml:space="preserve"> </w:t>
      </w:r>
      <w:r>
        <w:rPr>
          <w:rStyle w:val="VerbatimChar"/>
        </w:rPr>
        <w:t xml:space="preserve">y</w:t>
      </w:r>
      <w:r>
        <w:t xml:space="preserve"> </w:t>
      </w:r>
      <w:r>
        <w:t xml:space="preserve">under an approved AI trust mode; and</w:t>
      </w:r>
    </w:p>
    <w:p>
      <w:pPr>
        <w:pStyle w:val="Compact"/>
        <w:numPr>
          <w:ilvl w:val="0"/>
          <w:numId w:val="1010"/>
        </w:numPr>
      </w:pPr>
      <w:r>
        <w:rPr>
          <w:rStyle w:val="VerbatimChar"/>
        </w:rPr>
        <w:t xml:space="preserve">Σ_0 —tx→ Σ_1</w:t>
      </w:r>
      <w:r>
        <w:t xml:space="preserve"> </w:t>
      </w:r>
      <w:r>
        <w:t xml:space="preserve">— a complete transaction atomically produces</w:t>
      </w:r>
      <w:r>
        <w:t xml:space="preserve"> </w:t>
      </w:r>
      <w:r>
        <w:rPr>
          <w:rStyle w:val="VerbatimChar"/>
        </w:rPr>
        <w:t xml:space="preserve">Σ_1</w:t>
      </w:r>
      <w:r>
        <w:t xml:space="preserve"> </w:t>
      </w:r>
      <w:r>
        <w:t xml:space="preserve">from</w:t>
      </w:r>
      <w:r>
        <w:t xml:space="preserve"> </w:t>
      </w:r>
      <w:r>
        <w:rPr>
          <w:rStyle w:val="VerbatimChar"/>
        </w:rPr>
        <w:t xml:space="preserve">Σ_0</w:t>
      </w:r>
      <w:r>
        <w:t xml:space="preserve">.</w:t>
      </w:r>
    </w:p>
    <w:bookmarkEnd w:id="58"/>
    <w:bookmarkStart w:id="59" w:name="safety-properties"/>
    <w:p>
      <w:pPr>
        <w:pStyle w:val="Heading2"/>
      </w:pPr>
      <w:r>
        <w:t xml:space="preserve">2.13 Safety Properties</w:t>
      </w:r>
    </w:p>
    <w:p>
      <w:pPr>
        <w:pStyle w:val="FirstParagraph"/>
      </w:pPr>
      <w:r>
        <w:t xml:space="preserve">A conforming implementation is expected to preserve at least:</w:t>
      </w:r>
    </w:p>
    <w:p>
      <w:pPr>
        <w:pStyle w:val="Compact"/>
        <w:numPr>
          <w:ilvl w:val="0"/>
          <w:numId w:val="1011"/>
        </w:numPr>
      </w:pPr>
      <w:r>
        <w:t xml:space="preserve">type preservation;</w:t>
      </w:r>
    </w:p>
    <w:p>
      <w:pPr>
        <w:pStyle w:val="Compact"/>
        <w:numPr>
          <w:ilvl w:val="0"/>
          <w:numId w:val="1011"/>
        </w:numPr>
      </w:pPr>
      <w:r>
        <w:t xml:space="preserve">progress or deterministic typed failure;</w:t>
      </w:r>
    </w:p>
    <w:p>
      <w:pPr>
        <w:pStyle w:val="Compact"/>
        <w:numPr>
          <w:ilvl w:val="0"/>
          <w:numId w:val="1011"/>
        </w:numPr>
      </w:pPr>
      <w:r>
        <w:t xml:space="preserve">linear-resource conservation;</w:t>
      </w:r>
    </w:p>
    <w:p>
      <w:pPr>
        <w:pStyle w:val="Compact"/>
        <w:numPr>
          <w:ilvl w:val="0"/>
          <w:numId w:val="1011"/>
        </w:numPr>
      </w:pPr>
      <w:r>
        <w:t xml:space="preserve">authority non-amplification;</w:t>
      </w:r>
    </w:p>
    <w:p>
      <w:pPr>
        <w:pStyle w:val="Compact"/>
        <w:numPr>
          <w:ilvl w:val="0"/>
          <w:numId w:val="1011"/>
        </w:numPr>
      </w:pPr>
      <w:r>
        <w:t xml:space="preserve">effect confinement;</w:t>
      </w:r>
    </w:p>
    <w:p>
      <w:pPr>
        <w:pStyle w:val="Compact"/>
        <w:numPr>
          <w:ilvl w:val="0"/>
          <w:numId w:val="1011"/>
        </w:numPr>
      </w:pPr>
      <w:r>
        <w:t xml:space="preserve">verified-fact context integrity;</w:t>
      </w:r>
    </w:p>
    <w:p>
      <w:pPr>
        <w:pStyle w:val="Compact"/>
        <w:numPr>
          <w:ilvl w:val="0"/>
          <w:numId w:val="1011"/>
        </w:numPr>
      </w:pPr>
      <w:r>
        <w:t xml:space="preserve">bounded execution;</w:t>
      </w:r>
    </w:p>
    <w:p>
      <w:pPr>
        <w:pStyle w:val="Compact"/>
        <w:numPr>
          <w:ilvl w:val="0"/>
          <w:numId w:val="1011"/>
        </w:numPr>
      </w:pPr>
      <w:r>
        <w:t xml:space="preserve">atomic state and event commit;</w:t>
      </w:r>
    </w:p>
    <w:p>
      <w:pPr>
        <w:pStyle w:val="Compact"/>
        <w:numPr>
          <w:ilvl w:val="0"/>
          <w:numId w:val="1011"/>
        </w:numPr>
      </w:pPr>
      <w:r>
        <w:t xml:space="preserve">canonical serial equivalence; and</w:t>
      </w:r>
    </w:p>
    <w:p>
      <w:pPr>
        <w:pStyle w:val="Compact"/>
        <w:numPr>
          <w:ilvl w:val="0"/>
          <w:numId w:val="1011"/>
        </w:numPr>
      </w:pPr>
      <w:r>
        <w:t xml:space="preserve">AI receipt provenance and trust-mode soundness.</w:t>
      </w:r>
    </w:p>
    <w:p>
      <w:pPr>
        <w:pStyle w:val="FirstParagraph"/>
      </w:pPr>
      <w:r>
        <w:t xml:space="preserve">Proof sketches appear in Appendix E.</w:t>
      </w:r>
    </w:p>
    <w:bookmarkEnd w:id="59"/>
    <w:bookmarkEnd w:id="60"/>
    <w:bookmarkStart w:id="71" w:name="cryptography-and-security-primitives"/>
    <w:sectPr>
      <w:headerReference r:id="rId9" w:type="default"/>
      <w:footerReference r:id="rId10" w:type="default"/>
      <w:pgSz w:h="15840" w:w="12240"/>
      <w:pgMar w:bottom="936" w:footer="403" w:header="403" w:left="1037" w:right="1037" w:top="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color w:val="666666"/>
        <w:sz w:val="15"/>
      </w:rPr>
      <w:t xml:space="preserve">SECURITY-ALIGNED TECHNICAL SPECIFICATION  |  Page </w:t>
    </w: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2" w:color="4F81BD"/>
      </w:pBdr>
    </w:pPr>
    <w:r>
      <w:rPr>
        <w:rFonts w:ascii="Cambria" w:hAnsi="Cambria"/>
        <w:b/>
        <w:color w:val="345A8A"/>
        <w:sz w:val="16"/>
      </w:rPr>
      <w:t>SYNERGY NETWORK  |  SYNQ / AIVM TECHNICAL SPECIFICATION v7</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45" w:lineRule="auto"/>
    </w:pPr>
    <w:rPr>
      <w:rFonts w:ascii="Cambria" w:eastAsia="Cambria" w:hAnsi="Cambria"/>
      <w:sz w:val="19"/>
    </w:rPr>
  </w:style>
  <w:style w:styleId="BodyText" w:type="paragraph">
    <w:name w:val="Body Text"/>
    <w:basedOn w:val="Normal"/>
    <w:link w:val="BodyTextChar"/>
    <w:pPr>
      <w:spacing w:after="80" w:before="180" w:line="245" w:lineRule="auto"/>
    </w:pPr>
    <w:qFormat/>
    <w:rPr>
      <w:rFonts w:ascii="Cambria" w:eastAsia="Cambria" w:hAnsi="Cambria"/>
      <w:sz w:val="19"/>
    </w:rPr>
  </w:style>
  <w:style w:customStyle="1" w:styleId="FirstParagraph" w:type="paragraph">
    <w:name w:val="First Paragraph"/>
    <w:basedOn w:val="BodyText"/>
    <w:next w:val="BodyText"/>
    <w:qFormat/>
    <w:pPr>
      <w:spacing w:after="80" w:line="245" w:lineRule="auto"/>
    </w:pPr>
    <w:rPr>
      <w:rFonts w:ascii="Cambria" w:eastAsia="Cambria" w:hAnsi="Cambria"/>
      <w:sz w:val="19"/>
    </w:rPr>
  </w:style>
  <w:style w:customStyle="1" w:styleId="Compact" w:type="paragraph">
    <w:name w:val="Compact"/>
    <w:basedOn w:val="BodyText"/>
    <w:qFormat/>
    <w:pPr>
      <w:spacing w:after="30" w:before="36" w:line="245" w:lineRule="auto"/>
    </w:pPr>
    <w:rPr>
      <w:rFonts w:ascii="Cambria" w:eastAsia="Cambria" w:hAnsi="Cambria"/>
      <w:sz w:val="18"/>
    </w:rPr>
  </w:style>
  <w:style w:styleId="Title" w:type="paragraph">
    <w:name w:val="Title"/>
    <w:basedOn w:val="Normal"/>
    <w:next w:val="BodyText"/>
    <w:qFormat/>
    <w:pPr>
      <w:keepNext/>
      <w:keepLines/>
      <w:spacing w:after="80" w:before="0"/>
      <w:jc w:val="center"/>
    </w:pPr>
    <w:rPr>
      <w:rFonts w:ascii="Calibri" w:asciiTheme="majorHAnsi" w:cstheme="majorBidi" w:eastAsia="Calibri" w:eastAsiaTheme="majorEastAsia" w:hAnsi="Calibri" w:hAnsiTheme="majorHAnsi"/>
      <w:b/>
      <w:bCs/>
      <w:color w:val="345A8A"/>
      <w:sz w:val="44"/>
      <w:szCs w:val="36"/>
    </w:rPr>
  </w:style>
  <w:style w:styleId="Subtitle" w:type="paragraph">
    <w:name w:val="Subtitle"/>
    <w:basedOn w:val="Title"/>
    <w:next w:val="BodyText"/>
    <w:qFormat/>
    <w:pPr>
      <w:keepNext/>
      <w:keepLines/>
      <w:spacing w:after="80" w:before="0"/>
      <w:jc w:val="center"/>
    </w:pPr>
    <w:rPr>
      <w:rFonts w:ascii="Calibri" w:eastAsia="Calibri" w:hAnsi="Calibri"/>
      <w:b w:val="0"/>
      <w:color w:val="345A8A"/>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180"/>
      <w:outlineLvl w:val="0"/>
    </w:pPr>
    <w:rPr>
      <w:rFonts w:ascii="Cambria" w:asciiTheme="majorHAnsi" w:cstheme="majorBidi" w:eastAsia="Cambria" w:eastAsiaTheme="majorEastAsia" w:hAnsi="Cambria" w:hAnsiTheme="majorHAnsi"/>
      <w:b/>
      <w:bCs/>
      <w:color w:val="4F81BD"/>
      <w:sz w:val="32"/>
      <w:szCs w:val="32"/>
    </w:rPr>
  </w:style>
  <w:style w:styleId="Heading2" w:type="paragraph">
    <w:name w:val="Heading 2"/>
    <w:basedOn w:val="Normal"/>
    <w:next w:val="BodyText"/>
    <w:uiPriority w:val="9"/>
    <w:unhideWhenUsed/>
    <w:qFormat/>
    <w:pPr>
      <w:keepNext/>
      <w:keepLines/>
      <w:spacing w:after="80" w:before="180"/>
      <w:outlineLvl w:val="1"/>
    </w:pPr>
    <w:rPr>
      <w:rFonts w:ascii="Cambria" w:asciiTheme="majorHAnsi" w:cstheme="majorBidi" w:eastAsia="Cambria" w:eastAsiaTheme="majorEastAsia" w:hAnsi="Cambria" w:hAnsiTheme="majorHAnsi"/>
      <w:b/>
      <w:bCs/>
      <w:color w:val="4F81BD"/>
      <w:sz w:val="27"/>
      <w:szCs w:val="28"/>
    </w:rPr>
  </w:style>
  <w:style w:styleId="Heading3" w:type="paragraph">
    <w:name w:val="Heading 3"/>
    <w:basedOn w:val="Normal"/>
    <w:next w:val="BodyText"/>
    <w:uiPriority w:val="9"/>
    <w:unhideWhenUsed/>
    <w:qFormat/>
    <w:pPr>
      <w:keepNext/>
      <w:keepLines/>
      <w:spacing w:after="80" w:before="180"/>
      <w:outlineLvl w:val="2"/>
    </w:pPr>
    <w:rPr>
      <w:rFonts w:ascii="Cambria" w:asciiTheme="majorHAnsi" w:cstheme="majorBidi" w:eastAsia="Cambria" w:eastAsiaTheme="majorEastAsia" w:hAnsi="Cambria" w:hAnsiTheme="majorHAnsi"/>
      <w:b/>
      <w:bCs/>
      <w:color w:val="4F81BD"/>
      <w:sz w:val="23"/>
      <w:szCs w:val="24"/>
    </w:rPr>
  </w:style>
  <w:style w:styleId="Heading4" w:type="paragraph">
    <w:name w:val="Heading 4"/>
    <w:basedOn w:val="Normal"/>
    <w:next w:val="BodyText"/>
    <w:uiPriority w:val="9"/>
    <w:unhideWhenUsed/>
    <w:qFormat/>
    <w:pPr>
      <w:keepNext/>
      <w:keepLines/>
      <w:spacing w:after="80" w:before="180"/>
      <w:outlineLvl w:val="3"/>
    </w:pPr>
    <w:rPr>
      <w:rFonts w:ascii="Cambria" w:asciiTheme="majorHAnsi" w:cstheme="majorBidi" w:eastAsia="Cambria" w:eastAsiaTheme="majorEastAsia" w:hAnsi="Cambria" w:hAnsiTheme="majorHAnsi"/>
      <w:i/>
      <w:b/>
      <w:bCs/>
      <w:color w:val="4F81BD"/>
      <w:sz w:val="21"/>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80"/>
      <w:ind w:firstLine="0" w:left="317" w:right="259"/>
    </w:pPr>
    <w:rPr>
      <w:rFonts w:ascii="Cambria" w:hAnsi="Cambria"/>
      <w:sz w:val="18"/>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00" w:before="40"/>
    </w:pPr>
    <w:rPr>
      <w:rFonts w:ascii="Cambria" w:hAnsi="Cambria"/>
      <w:i/>
      <w:sz w:val="17"/>
    </w:rPr>
  </w:style>
  <w:style w:customStyle="1" w:styleId="TableCaption" w:type="paragraph">
    <w:name w:val="Table Caption"/>
    <w:basedOn w:val="Caption"/>
    <w:pPr>
      <w:keepNext/>
      <w:spacing w:after="100" w:before="40"/>
    </w:pPr>
    <w:rPr>
      <w:rFonts w:ascii="Cambria" w:hAnsi="Cambria"/>
      <w:i/>
      <w:sz w:val="17"/>
    </w:rPr>
  </w:style>
  <w:style w:customStyle="1" w:styleId="ImageCaption" w:type="paragraph">
    <w:name w:val="Image Caption"/>
    <w:basedOn w:val="Caption"/>
    <w:pPr>
      <w:spacing w:after="100" w:before="40"/>
    </w:pPr>
    <w:rPr>
      <w:rFonts w:ascii="Cambria" w:hAnsi="Cambria"/>
      <w:i/>
      <w:sz w:val="17"/>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80" w:before="60"/>
      <w:ind w:left="216" w:right="216"/>
    </w:pPr>
    <w:rPr>
      <w:rFonts w:ascii="Consolas" w:eastAsia="Consolas" w:hAnsi="Consolas"/>
      <w:sz w:val="16"/>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41" Target="media/rId41.png" /><Relationship Type="http://schemas.openxmlformats.org/officeDocument/2006/relationships/image" Id="rId106" Target="media/rId106.png" /><Relationship Type="http://schemas.openxmlformats.org/officeDocument/2006/relationships/image" Id="rId96" Target="media/rId9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2 — Formal Semantics and Type System</dc:title>
  <dc:creator>Synergy Network</dc:creator>
  <dc:language>en-US</dc:language>
  <cp:keywords/>
  <dcterms:created xsi:type="dcterms:W3CDTF">2026-07-15T16:31:13Z</dcterms:created>
  <dcterms:modified xsi:type="dcterms:W3CDTF">2026-07-15T16:31:13Z</dcterms:modified>
  <dc:subject>SynQ Language and AI-Powered Virtual Machine (AIVM) Technical Specification, Version 7.0</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vt:lpwstr>
  </property>
  <property fmtid="{D5CDD505-2E9C-101B-9397-08002B2CF9AE}" pid="3" name="subtitle">
    <vt:lpwstr>Version 7.0 — Security, Authority, and Intelligence-Layer Aligned Edition</vt:lpwstr>
  </property>
</Properties>
</file>