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106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3. Cryptography and Security Primitives</w:t>
      </w:r>
    </w:p>
    <w:bookmarkStart w:id="61" w:name="cryptographic-jurisdiction"/>
    <w:p>
      <w:pPr>
        <w:pStyle w:val="Heading2"/>
      </w:pPr>
      <w:r>
        <w:t xml:space="preserve">3.1 Cryptographic Jurisdiction</w:t>
      </w:r>
    </w:p>
    <w:p>
      <w:pPr>
        <w:pStyle w:val="FirstParagraph"/>
      </w:pPr>
      <w:r>
        <w:t xml:space="preserve">SynQ contracts do not implement cryptographic algorithms and do not select arbitrary primitives. They request Aegis-governed verification properties. Aegis determines the active algorithm, parameter set, implementation profile, key lifecycle, domain separation, threshold policy, and deprecation state.</w:t>
      </w:r>
    </w:p>
    <w:p>
      <w:pPr>
        <w:pStyle w:val="BodyText"/>
      </w:pPr>
      <w:r>
        <w:t xml:space="preserve">This separation preserves semantic stability. A contract requiring</w:t>
      </w:r>
      <w:r>
        <w:t xml:space="preserve"> </w:t>
      </w:r>
      <w:r>
        <w:t xml:space="preserve">“</w:t>
      </w:r>
      <w:r>
        <w:t xml:space="preserve">valid treasury authority under profile</w:t>
      </w:r>
      <w:r>
        <w:t xml:space="preserve"> </w:t>
      </w:r>
      <w:r>
        <w:rPr>
          <w:rStyle w:val="VerbatimChar"/>
        </w:rPr>
        <w:t xml:space="preserve">treasury_high_assurance</w:t>
      </w:r>
      <w:r>
        <w:t xml:space="preserve">”</w:t>
      </w:r>
      <w:r>
        <w:t xml:space="preserve"> </w:t>
      </w:r>
      <w:r>
        <w:t xml:space="preserve">continues to express the same authorization rule after an approved cryptographic migration, even when the underlying signature suite changes.</w:t>
      </w:r>
    </w:p>
    <w:bookmarkEnd w:id="61"/>
    <w:bookmarkStart w:id="62" w:name="approved-profile-families"/>
    <w:p>
      <w:pPr>
        <w:pStyle w:val="Heading2"/>
      </w:pPr>
      <w:r>
        <w:t xml:space="preserve">3.2 Approved Profile Families</w:t>
      </w:r>
    </w:p>
    <w:p>
      <w:pPr>
        <w:pStyle w:val="FirstParagraph"/>
      </w:pPr>
      <w:r>
        <w:t xml:space="preserve">The following are illustrative active or reserve families; the Aegis registry is authoritative.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Profile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governed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Contract-visible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post-quantum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ML-DSA-65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an Aegis authority receipt under a role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High-assurance or threshold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ML-DSA-87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higher-security governance, treasury, or root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ML-KEM-768 / ML-KEM-1024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protected channels outside contract private-key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Long-lived 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SLH-DSA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durable credential or recovery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Hashing and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SHA3 / SHAKE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domain-separated digest and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Zero-knowledge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STARK or hash-based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proof without pairing-based trusted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 or role-restricted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Governance-approved Aegis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only when explicitly activated for the role</w:t>
            </w:r>
          </w:p>
        </w:tc>
      </w:tr>
    </w:tbl>
    <w:p>
      <w:pPr>
        <w:pStyle w:val="BodyText"/>
      </w:pPr>
      <w:r>
        <w:t xml:space="preserve">New normative documentation MUST use current NIST/FIPS-style names. Legacy terms may appear only in migration or historical notes.</w:t>
      </w:r>
    </w:p>
    <w:bookmarkEnd w:id="62"/>
    <w:bookmarkStart w:id="63" w:name="cryptographic-types"/>
    <w:p>
      <w:pPr>
        <w:pStyle w:val="Heading2"/>
      </w:pPr>
      <w:r>
        <w:t xml:space="preserve">3.3 Cryptographic Types</w:t>
      </w:r>
    </w:p>
    <w:p>
      <w:pPr>
        <w:pStyle w:val="SourceCode"/>
      </w:pPr>
      <w:r>
        <w:rPr>
          <w:rStyle w:val="VerbatimChar"/>
        </w:rPr>
        <w:t xml:space="preserve">struct AegisProfileId(Hash32);</w:t>
      </w:r>
      <w:r>
        <w:br/>
      </w:r>
      <w:r>
        <w:rPr>
          <w:rStyle w:val="VerbatimChar"/>
        </w:rPr>
        <w:t xml:space="preserve">struct VerificationReceipt(Bytes);</w:t>
      </w:r>
      <w:r>
        <w:br/>
      </w:r>
      <w:r>
        <w:rPr>
          <w:rStyle w:val="VerbatimChar"/>
        </w:rPr>
        <w:t xml:space="preserve">struct Commitment&lt;T&gt;(Hash32);</w:t>
      </w:r>
      <w:r>
        <w:br/>
      </w:r>
      <w:r>
        <w:rPr>
          <w:rStyle w:val="VerbatimChar"/>
        </w:rPr>
        <w:t xml:space="preserve">struct Nullifier(Hash32);</w:t>
      </w:r>
      <w:r>
        <w:br/>
      </w:r>
      <w:r>
        <w:rPr>
          <w:rStyle w:val="VerbatimChar"/>
        </w:rPr>
        <w:t xml:space="preserve">struct ProofRef(Hash32);</w:t>
      </w:r>
    </w:p>
    <w:p>
      <w:pPr>
        <w:pStyle w:val="FirstParagraph"/>
      </w:pPr>
      <w:r>
        <w:t xml:space="preserve">Public key and signature bytes may appear inside external compatibility facts, but native contract authority is not defined by those bytes. Contracts normally receive an Aegis</w:t>
      </w:r>
      <w:r>
        <w:t xml:space="preserve"> </w:t>
      </w:r>
      <w:r>
        <w:rPr>
          <w:rStyle w:val="VerbatimChar"/>
        </w:rPr>
        <w:t xml:space="preserve">VerificationReceipt</w:t>
      </w:r>
      <w:r>
        <w:t xml:space="preserve"> </w:t>
      </w:r>
      <w:r>
        <w:t xml:space="preserve">or a typed</w:t>
      </w:r>
      <w:r>
        <w:t xml:space="preserve"> </w:t>
      </w:r>
      <w:r>
        <w:rPr>
          <w:rStyle w:val="VerbatimChar"/>
        </w:rPr>
        <w:t xml:space="preserve">AuthorityEnvelope</w:t>
      </w:r>
      <w:r>
        <w:t xml:space="preserve"> </w:t>
      </w:r>
      <w:r>
        <w:t xml:space="preserve">whose Aegis receipt has already been validated at admission.</w:t>
      </w:r>
    </w:p>
    <w:bookmarkEnd w:id="63"/>
    <w:bookmarkStart w:id="64" w:name="verification-interfaces"/>
    <w:p>
      <w:pPr>
        <w:pStyle w:val="Heading2"/>
      </w:pPr>
      <w:r>
        <w:t xml:space="preserve">3.4 Verification Interfaces</w:t>
      </w:r>
    </w:p>
    <w:p>
      <w:pPr>
        <w:pStyle w:val="SourceCode"/>
      </w:pPr>
      <w:r>
        <w:rPr>
          <w:rStyle w:val="VerbatimChar"/>
        </w:rPr>
        <w:t xml:space="preserve">module aegis {</w:t>
      </w:r>
      <w:r>
        <w:br/>
      </w:r>
      <w:r>
        <w:rPr>
          <w:rStyle w:val="VerbatimChar"/>
        </w:rPr>
        <w:t xml:space="preserve">    function verify_authority&lt;S&gt;(</w:t>
      </w:r>
      <w:r>
        <w:br/>
      </w:r>
      <w:r>
        <w:rPr>
          <w:rStyle w:val="VerbatimChar"/>
        </w:rPr>
        <w:t xml:space="preserve">        auth: AuthorityEnvelope&lt;S&gt;,</w:t>
      </w:r>
      <w:r>
        <w:br/>
      </w:r>
      <w:r>
        <w:rPr>
          <w:rStyle w:val="VerbatimChar"/>
        </w:rPr>
        <w:t xml:space="preserve">        required: S,</w:t>
      </w:r>
      <w:r>
        <w:br/>
      </w:r>
      <w:r>
        <w:rPr>
          <w:rStyle w:val="VerbatimChar"/>
        </w:rPr>
        <w:t xml:space="preserve">    ) -&gt; Result&lt;VerifiedAuthority&lt;S&gt;, AuthorityError&gt;;</w:t>
      </w:r>
      <w:r>
        <w:br/>
      </w:r>
      <w:r>
        <w:br/>
      </w:r>
      <w:r>
        <w:rPr>
          <w:rStyle w:val="VerbatimChar"/>
        </w:rPr>
        <w:t xml:space="preserve">    function verify_receipt(</w:t>
      </w:r>
      <w:r>
        <w:br/>
      </w:r>
      <w:r>
        <w:rPr>
          <w:rStyle w:val="VerbatimChar"/>
        </w:rPr>
        <w:t xml:space="preserve">        profile: AegisProfileId,</w:t>
      </w:r>
      <w:r>
        <w:br/>
      </w:r>
      <w:r>
        <w:rPr>
          <w:rStyle w:val="VerbatimChar"/>
        </w:rPr>
        <w:t xml:space="preserve">        message_commitment: Hash32,</w:t>
      </w:r>
      <w:r>
        <w:br/>
      </w:r>
      <w:r>
        <w:rPr>
          <w:rStyle w:val="VerbatimChar"/>
        </w:rPr>
        <w:t xml:space="preserve">        receipt: VerificationReceipt,</w:t>
      </w:r>
      <w:r>
        <w:br/>
      </w:r>
      <w:r>
        <w:rPr>
          <w:rStyle w:val="VerbatimChar"/>
        </w:rPr>
        <w:t xml:space="preserve">    ) -&gt; Result&lt;VerifiedReceipt, CryptoError&gt;;</w:t>
      </w:r>
      <w:r>
        <w:br/>
      </w:r>
      <w:r>
        <w:br/>
      </w:r>
      <w:r>
        <w:rPr>
          <w:rStyle w:val="VerbatimChar"/>
        </w:rPr>
        <w:t xml:space="preserve">    function hash&lt;T&gt;(domain: Hash32, value: T) -&gt; Hash32;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message commitment includes network, lane, contract, selector, identity state, nonce, expiry, and operation-specific data. Verification of raw, unscoped message bytes is prohibited for protected operations.</w:t>
      </w:r>
    </w:p>
    <w:bookmarkEnd w:id="64"/>
    <w:bookmarkStart w:id="65" w:name="private-key-operations"/>
    <w:p>
      <w:pPr>
        <w:pStyle w:val="Heading2"/>
      </w:pPr>
      <w:r>
        <w:t xml:space="preserve">3.5 Private-Key Operations</w:t>
      </w:r>
    </w:p>
    <w:p>
      <w:pPr>
        <w:pStyle w:val="FirstParagraph"/>
      </w:pPr>
      <w:r>
        <w:t xml:space="preserve">Contract code MUST NOT:</w:t>
      </w:r>
    </w:p>
    <w:p>
      <w:pPr>
        <w:pStyle w:val="Compact"/>
        <w:numPr>
          <w:ilvl w:val="0"/>
          <w:numId w:val="1012"/>
        </w:numPr>
      </w:pPr>
      <w:r>
        <w:t xml:space="preserve">generate private keys;</w:t>
      </w:r>
    </w:p>
    <w:p>
      <w:pPr>
        <w:pStyle w:val="Compact"/>
        <w:numPr>
          <w:ilvl w:val="0"/>
          <w:numId w:val="1012"/>
        </w:numPr>
      </w:pPr>
      <w:r>
        <w:t xml:space="preserve">sign messages;</w:t>
      </w:r>
    </w:p>
    <w:p>
      <w:pPr>
        <w:pStyle w:val="Compact"/>
        <w:numPr>
          <w:ilvl w:val="0"/>
          <w:numId w:val="1012"/>
        </w:numPr>
      </w:pPr>
      <w:r>
        <w:t xml:space="preserve">decapsulate private ML-KEM ciphertexts;</w:t>
      </w:r>
    </w:p>
    <w:p>
      <w:pPr>
        <w:pStyle w:val="Compact"/>
        <w:numPr>
          <w:ilvl w:val="0"/>
          <w:numId w:val="1012"/>
        </w:numPr>
      </w:pPr>
      <w:r>
        <w:t xml:space="preserve">export secrets from Aegis, HSMs, wallets, AI nodes, or operators;</w:t>
      </w:r>
    </w:p>
    <w:p>
      <w:pPr>
        <w:pStyle w:val="Compact"/>
        <w:numPr>
          <w:ilvl w:val="0"/>
          <w:numId w:val="1012"/>
        </w:numPr>
      </w:pPr>
      <w:r>
        <w:t xml:space="preserve">derive authority from possession of an unregistered public key; or</w:t>
      </w:r>
    </w:p>
    <w:p>
      <w:pPr>
        <w:pStyle w:val="Compact"/>
        <w:numPr>
          <w:ilvl w:val="0"/>
          <w:numId w:val="1012"/>
        </w:numPr>
      </w:pPr>
      <w:r>
        <w:t xml:space="preserve">substitute a classical external-chain signature for native Synergy authority.</w:t>
      </w:r>
    </w:p>
    <w:p>
      <w:pPr>
        <w:pStyle w:val="FirstParagraph"/>
      </w:pPr>
      <w:r>
        <w:t xml:space="preserve">Signing and secret-key operations occur in the appropriate wallet, validator, relayer, Aegis, or hardware-backed authority plane. SynQ consumes only the resulting verified artifacts.</w:t>
      </w:r>
    </w:p>
    <w:bookmarkEnd w:id="65"/>
    <w:bookmarkStart w:id="66" w:name="domain-separation"/>
    <w:p>
      <w:pPr>
        <w:pStyle w:val="Heading2"/>
      </w:pPr>
      <w:r>
        <w:t xml:space="preserve">3.6 Domain Separation</w:t>
      </w:r>
    </w:p>
    <w:p>
      <w:pPr>
        <w:pStyle w:val="FirstParagraph"/>
      </w:pPr>
      <w:r>
        <w:t xml:space="preserve">Every cryptographic commitment uses a versioned domain tag. The tag includes the artifact class and, where applicable, network, lane, contract, function selector, model, runtime, policy, adapter, or epoch.</w:t>
      </w:r>
    </w:p>
    <w:p>
      <w:pPr>
        <w:pStyle w:val="SourceCode"/>
      </w:pPr>
      <w:r>
        <w:rPr>
          <w:rStyle w:val="VerbatimChar"/>
        </w:rPr>
        <w:t xml:space="preserve">SYNQ/AUTH/v1</w:t>
      </w:r>
      <w:r>
        <w:br/>
      </w:r>
      <w:r>
        <w:rPr>
          <w:rStyle w:val="VerbatimChar"/>
        </w:rPr>
        <w:t xml:space="preserve">SYNQ/FACT/v1</w:t>
      </w:r>
      <w:r>
        <w:br/>
      </w:r>
      <w:r>
        <w:rPr>
          <w:rStyle w:val="VerbatimChar"/>
        </w:rPr>
        <w:t xml:space="preserve">SYNQ/ARTIFACT/v1</w:t>
      </w:r>
      <w:r>
        <w:br/>
      </w:r>
      <w:r>
        <w:rPr>
          <w:rStyle w:val="VerbatimChar"/>
        </w:rPr>
        <w:t xml:space="preserve">AIVM/MODEL/v1</w:t>
      </w:r>
      <w:r>
        <w:br/>
      </w:r>
      <w:r>
        <w:rPr>
          <w:rStyle w:val="VerbatimChar"/>
        </w:rPr>
        <w:t xml:space="preserve">AIVM/INFERENCE-INPUT/v1</w:t>
      </w:r>
      <w:r>
        <w:br/>
      </w:r>
      <w:r>
        <w:rPr>
          <w:rStyle w:val="VerbatimChar"/>
        </w:rPr>
        <w:t xml:space="preserve">AIVM/INFERENCE-OUTPUT/v1</w:t>
      </w:r>
      <w:r>
        <w:br/>
      </w:r>
      <w:r>
        <w:rPr>
          <w:rStyle w:val="VerbatimChar"/>
        </w:rPr>
        <w:t xml:space="preserve">AIVM/INFERENCE-RECEIPT/v1</w:t>
      </w:r>
      <w:r>
        <w:br/>
      </w:r>
      <w:r>
        <w:rPr>
          <w:rStyle w:val="VerbatimChar"/>
        </w:rPr>
        <w:t xml:space="preserve">AIVM/AGENT-ACTION/v1</w:t>
      </w:r>
    </w:p>
    <w:p>
      <w:pPr>
        <w:pStyle w:val="FirstParagraph"/>
      </w:pPr>
      <w:r>
        <w:t xml:space="preserve">A digest generated under one domain is invalid under every other domain.</w:t>
      </w:r>
    </w:p>
    <w:bookmarkEnd w:id="66"/>
    <w:bookmarkStart w:id="67" w:name="ai-artifact-cryptographic-binding"/>
    <w:p>
      <w:pPr>
        <w:pStyle w:val="Heading2"/>
      </w:pPr>
      <w:r>
        <w:t xml:space="preserve">3.7 AI Artifact Cryptographic Binding</w:t>
      </w:r>
    </w:p>
    <w:p>
      <w:pPr>
        <w:pStyle w:val="FirstParagraph"/>
      </w:pPr>
      <w:r>
        <w:t xml:space="preserve">A model publication binds at minimum:</w:t>
      </w:r>
    </w:p>
    <w:p>
      <w:pPr>
        <w:pStyle w:val="Compact"/>
        <w:numPr>
          <w:ilvl w:val="0"/>
          <w:numId w:val="1013"/>
        </w:numPr>
      </w:pPr>
      <w:r>
        <w:t xml:space="preserve">model architecture or operator-graph digest;</w:t>
      </w:r>
    </w:p>
    <w:p>
      <w:pPr>
        <w:pStyle w:val="Compact"/>
        <w:numPr>
          <w:ilvl w:val="0"/>
          <w:numId w:val="1013"/>
        </w:numPr>
      </w:pPr>
      <w:r>
        <w:t xml:space="preserve">weights digest;</w:t>
      </w:r>
    </w:p>
    <w:p>
      <w:pPr>
        <w:pStyle w:val="Compact"/>
        <w:numPr>
          <w:ilvl w:val="0"/>
          <w:numId w:val="1013"/>
        </w:numPr>
      </w:pPr>
      <w:r>
        <w:t xml:space="preserve">tokenizer, feature extractor, and preprocessing digests;</w:t>
      </w:r>
    </w:p>
    <w:p>
      <w:pPr>
        <w:pStyle w:val="Compact"/>
        <w:numPr>
          <w:ilvl w:val="0"/>
          <w:numId w:val="1013"/>
        </w:numPr>
      </w:pPr>
      <w:r>
        <w:t xml:space="preserve">quantization and rounding profile;</w:t>
      </w:r>
    </w:p>
    <w:p>
      <w:pPr>
        <w:pStyle w:val="Compact"/>
        <w:numPr>
          <w:ilvl w:val="0"/>
          <w:numId w:val="1013"/>
        </w:numPr>
      </w:pPr>
      <w:r>
        <w:t xml:space="preserve">runtime image or deterministic-kernel profile;</w:t>
      </w:r>
    </w:p>
    <w:p>
      <w:pPr>
        <w:pStyle w:val="Compact"/>
        <w:numPr>
          <w:ilvl w:val="0"/>
          <w:numId w:val="1013"/>
        </w:numPr>
      </w:pPr>
      <w:r>
        <w:t xml:space="preserve">publisher UMA identity and Aegis publication receipt;</w:t>
      </w:r>
    </w:p>
    <w:p>
      <w:pPr>
        <w:pStyle w:val="Compact"/>
        <w:numPr>
          <w:ilvl w:val="0"/>
          <w:numId w:val="1013"/>
        </w:numPr>
      </w:pPr>
      <w:r>
        <w:t xml:space="preserve">training or lineage manifest;</w:t>
      </w:r>
    </w:p>
    <w:p>
      <w:pPr>
        <w:pStyle w:val="Compact"/>
        <w:numPr>
          <w:ilvl w:val="0"/>
          <w:numId w:val="1013"/>
        </w:numPr>
      </w:pPr>
      <w:r>
        <w:t xml:space="preserve">dataset provenance references where required;</w:t>
      </w:r>
    </w:p>
    <w:p>
      <w:pPr>
        <w:pStyle w:val="Compact"/>
        <w:numPr>
          <w:ilvl w:val="0"/>
          <w:numId w:val="1013"/>
        </w:numPr>
      </w:pPr>
      <w:r>
        <w:t xml:space="preserve">license and permitted workload classes;</w:t>
      </w:r>
    </w:p>
    <w:p>
      <w:pPr>
        <w:pStyle w:val="Compact"/>
        <w:numPr>
          <w:ilvl w:val="0"/>
          <w:numId w:val="1013"/>
        </w:numPr>
      </w:pPr>
      <w:r>
        <w:t xml:space="preserve">safety and limitation labels;</w:t>
      </w:r>
    </w:p>
    <w:p>
      <w:pPr>
        <w:pStyle w:val="Compact"/>
        <w:numPr>
          <w:ilvl w:val="0"/>
          <w:numId w:val="1013"/>
        </w:numPr>
      </w:pPr>
      <w:r>
        <w:t xml:space="preserve">compatible AIVM versions; and</w:t>
      </w:r>
    </w:p>
    <w:p>
      <w:pPr>
        <w:pStyle w:val="Compact"/>
        <w:numPr>
          <w:ilvl w:val="0"/>
          <w:numId w:val="1013"/>
        </w:numPr>
      </w:pPr>
      <w:r>
        <w:t xml:space="preserve">activation, deprecation, and revocation state.</w:t>
      </w:r>
    </w:p>
    <w:p>
      <w:pPr>
        <w:pStyle w:val="FirstParagraph"/>
      </w:pPr>
      <w:r>
        <w:t xml:space="preserve">An inference receipt binds the model publication, runtime, request, input commitment, output digest, trust mode, policy, resource use, and proof or attestation. Replacing any component invalidates the receipt.</w:t>
      </w:r>
    </w:p>
    <w:bookmarkEnd w:id="67"/>
    <w:bookmarkStart w:id="68" w:name="randomness"/>
    <w:p>
      <w:pPr>
        <w:pStyle w:val="Heading2"/>
      </w:pPr>
      <w:r>
        <w:t xml:space="preserve">3.8 Randomness</w:t>
      </w:r>
    </w:p>
    <w:p>
      <w:pPr>
        <w:pStyle w:val="FirstParagraph"/>
      </w:pPr>
      <w:r>
        <w:t xml:space="preserve">Contracts have no local randomness. A contract requiring randomness consumes a governed</w:t>
      </w:r>
      <w:r>
        <w:t xml:space="preserve"> </w:t>
      </w:r>
      <w:r>
        <w:rPr>
          <w:rStyle w:val="VerbatimChar"/>
        </w:rPr>
        <w:t xml:space="preserve">VerifiedFact&lt;Randomness&gt;</w:t>
      </w:r>
      <w:r>
        <w:t xml:space="preserve"> </w:t>
      </w:r>
      <w:r>
        <w:t xml:space="preserve">derived from an Aegis-approved beacon or other protocol-recognized source. The fact binds the beacon round, target contract, purpose, network, and expiry.</w:t>
      </w:r>
    </w:p>
    <w:p>
      <w:pPr>
        <w:pStyle w:val="BodyText"/>
      </w:pPr>
      <w:r>
        <w:t xml:space="preserve">AI sampling randomness is prohibited in</w:t>
      </w:r>
      <w:r>
        <w:t xml:space="preserve"> </w:t>
      </w:r>
      <w:r>
        <w:rPr>
          <w:rStyle w:val="VerbatimChar"/>
        </w:rPr>
        <w:t xml:space="preserve">NativeDeterministic</w:t>
      </w:r>
      <w:r>
        <w:t xml:space="preserve"> </w:t>
      </w:r>
      <w:r>
        <w:t xml:space="preserve">mode. Generative models in an authoritative path must use deterministic decoding parameters and a protocol-provided seed bound to the request. Advisory mode may use non-authoritative randomness but cannot directly mutate state.</w:t>
      </w:r>
    </w:p>
    <w:bookmarkEnd w:id="68"/>
    <w:bookmarkStart w:id="69" w:name="proof-systems"/>
    <w:p>
      <w:pPr>
        <w:pStyle w:val="Heading2"/>
      </w:pPr>
      <w:r>
        <w:t xml:space="preserve">3.9 Proof Systems</w:t>
      </w:r>
    </w:p>
    <w:p>
      <w:pPr>
        <w:pStyle w:val="FirstParagraph"/>
      </w:pPr>
      <w:r>
        <w:t xml:space="preserve">Native Synergy proof verification uses STARK or other governance-approved hash-based profiles. Pairing-based proof systems with trusted setup are not accepted in native protocol components. External-chain facts may reference other proof systems, but the adapter must label the external assumption and AIVM must preserve that provenance.</w:t>
      </w:r>
    </w:p>
    <w:p>
      <w:pPr>
        <w:pStyle w:val="BodyText"/>
      </w:pPr>
      <w:r>
        <w:t xml:space="preserve">Proof verification has explicit maximum sizes, recursion depth, verifier profile, execution-unit charge, and activation height. Proof parsers are treated as hostile-input boundaries.</w:t>
      </w:r>
    </w:p>
    <w:bookmarkEnd w:id="69"/>
    <w:bookmarkStart w:id="70" w:name="cryptographic-agility"/>
    <w:p>
      <w:pPr>
        <w:pStyle w:val="Heading2"/>
      </w:pPr>
      <w:r>
        <w:t xml:space="preserve">3.10 Cryptographic Agility</w:t>
      </w:r>
    </w:p>
    <w:p>
      <w:pPr>
        <w:pStyle w:val="FirstParagraph"/>
      </w:pPr>
      <w:r>
        <w:t xml:space="preserve">A profile lifecycle includes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restricted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verification_only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reserve</w:t>
      </w:r>
      <w:r>
        <w:t xml:space="preserve">. New profile activation requires test vectors, implementation identifiers, cross-client parity, resource calibration, migration rules, and a governance activation height. Revocation affects future authority but historical verification remains available through a versioned verification-only profile unless the artifact itself is determined invalid.</w:t>
      </w:r>
    </w:p>
    <w:bookmarkEnd w:id="70"/>
    <w:bookmarkEnd w:id="71"/>
    <w:bookmarkStart w:id="84" w:name="X691ff5e2e08f09c07703a9a07d41511807f7a82"/>
    <w:sectPr>
      <w:headerReference r:id="rId9" w:type="default"/>
      <w:footerReference r:id="rId10" w:type="default"/>
      <w:pgSz w:h="15840" w:w="12240"/>
      <w:pgMar w:bottom="936" w:footer="403" w:header="403" w:left="1037" w:right="1037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/>
        <w:color w:val="666666"/>
        <w:sz w:val="15"/>
      </w:rPr>
      <w:t xml:space="preserve">SECURITY-ALIGNED TECHNICAL SPECIFICATION  |  Page 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2" w:color="4F81BD"/>
      </w:pBdr>
    </w:pPr>
    <w:r>
      <w:rPr>
        <w:rFonts w:ascii="Cambria" w:hAnsi="Cambria"/>
        <w:b/>
        <w:color w:val="345A8A"/>
        <w:sz w:val="16"/>
      </w:rPr>
      <w:t>SYNERGY NETWORK  |  SYNQ / AIVM TECHNICAL SPECIFICATION v7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45" w:lineRule="auto"/>
    </w:pPr>
    <w:rPr>
      <w:rFonts w:ascii="Cambria" w:eastAsia="Cambria" w:hAnsi="Cambria"/>
      <w:sz w:val="19"/>
    </w:rPr>
  </w:style>
  <w:style w:styleId="BodyText" w:type="paragraph">
    <w:name w:val="Body Text"/>
    <w:basedOn w:val="Normal"/>
    <w:link w:val="BodyTextChar"/>
    <w:pPr>
      <w:spacing w:after="80" w:before="180" w:line="245" w:lineRule="auto"/>
    </w:pPr>
    <w:qFormat/>
    <w:rPr>
      <w:rFonts w:ascii="Cambria" w:eastAsia="Cambria" w:hAnsi="Cambria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80" w:line="245" w:lineRule="auto"/>
    </w:pPr>
    <w:rPr>
      <w:rFonts w:ascii="Cambria" w:eastAsia="Cambria" w:hAnsi="Cambria"/>
      <w:sz w:val="19"/>
    </w:rPr>
  </w:style>
  <w:style w:customStyle="1" w:styleId="Compact" w:type="paragraph">
    <w:name w:val="Compact"/>
    <w:basedOn w:val="BodyText"/>
    <w:qFormat/>
    <w:pPr>
      <w:spacing w:after="30" w:before="36" w:line="245" w:lineRule="auto"/>
    </w:pPr>
    <w:rPr>
      <w:rFonts w:ascii="Cambria" w:eastAsia="Cambria" w:hAnsi="Cambria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80" w:before="0"/>
      <w:jc w:val="center"/>
    </w:pPr>
    <w:rPr>
      <w:rFonts w:ascii="Calibri" w:eastAsia="Calibri" w:hAnsi="Calibri"/>
      <w:b w:val="0"/>
      <w:color w:val="345A8A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180"/>
      <w:outlineLvl w:val="0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80"/>
      <w:outlineLvl w:val="1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mbria" w:asciiTheme="majorHAnsi" w:cstheme="majorBidi" w:eastAsia="Cambria" w:eastAsiaTheme="majorEastAsia" w:hAnsi="Cambria" w:hAnsiTheme="majorHAnsi"/>
      <w:b/>
      <w:bCs/>
      <w:color w:val="4F81BD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80"/>
      <w:outlineLvl w:val="3"/>
    </w:pPr>
    <w:rPr>
      <w:rFonts w:ascii="Cambria" w:asciiTheme="majorHAnsi" w:cstheme="majorBidi" w:eastAsia="Cambria" w:eastAsiaTheme="majorEastAsia" w:hAnsi="Cambria" w:hAnsiTheme="majorHAnsi"/>
      <w:i/>
      <w:b/>
      <w:bCs/>
      <w:color w:val="4F81BD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80"/>
      <w:ind w:firstLine="0" w:left="317" w:right="259"/>
    </w:pPr>
    <w:rPr>
      <w:rFonts w:ascii="Cambria" w:hAnsi="Cambria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00" w:before="40"/>
    </w:pPr>
    <w:rPr>
      <w:rFonts w:ascii="Cambria" w:hAnsi="Cambria"/>
      <w:i/>
      <w:sz w:val="17"/>
    </w:rPr>
  </w:style>
  <w:style w:customStyle="1" w:styleId="TableCaption" w:type="paragraph">
    <w:name w:val="Table Caption"/>
    <w:basedOn w:val="Caption"/>
    <w:pPr>
      <w:keepNext/>
      <w:spacing w:after="100" w:before="40"/>
    </w:pPr>
    <w:rPr>
      <w:rFonts w:ascii="Cambria" w:hAnsi="Cambria"/>
      <w:i/>
      <w:sz w:val="17"/>
    </w:rPr>
  </w:style>
  <w:style w:customStyle="1" w:styleId="ImageCaption" w:type="paragraph">
    <w:name w:val="Image Caption"/>
    <w:basedOn w:val="Caption"/>
    <w:pPr>
      <w:spacing w:after="100" w:before="40"/>
    </w:pPr>
    <w:rPr>
      <w:rFonts w:ascii="Cambria" w:hAnsi="Cambria"/>
      <w:i/>
      <w:sz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60"/>
      <w:ind w:left="216" w:right="216"/>
    </w:pPr>
    <w:rPr>
      <w:rFonts w:ascii="Consolas" w:eastAsia="Consolas" w:hAnsi="Consolas"/>
      <w:sz w:val="16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106" Target="media/rId106.png" /><Relationship Type="http://schemas.openxmlformats.org/officeDocument/2006/relationships/image" Id="rId96" Target="media/rId9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3 — Cryptography and Security Primitives</dc:title>
  <dc:creator>Synergy Network</dc:creator>
  <dc:language>en-US</dc:language>
  <cp:keywords/>
  <dcterms:created xsi:type="dcterms:W3CDTF">2026-07-15T16:31:13Z</dcterms:created>
  <dcterms:modified xsi:type="dcterms:W3CDTF">2026-07-15T16:31:13Z</dcterms:modified>
  <dc:subject>SynQ Language and AI-Powered Virtual Machine (AIVM) Technical Specification, Version 7.0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Version 7.0 — Security, Authority, and Intelligence-Layer Aligned Edition</vt:lpwstr>
  </property>
</Properties>
</file>