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1.png" ContentType="image/png"/>
  <Override PartName="/word/media/rId106.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8. Toolchain and Developer Workflow</w:t>
      </w:r>
    </w:p>
    <w:bookmarkStart w:id="144" w:name="toolchain-components"/>
    <w:p>
      <w:pPr>
        <w:pStyle w:val="Heading2"/>
      </w:pPr>
      <w:r>
        <w:t xml:space="preserve">8.1 Toolchain Components</w:t>
      </w:r>
    </w:p>
    <w:p>
      <w:pPr>
        <w:pStyle w:val="FirstParagraph"/>
      </w:pPr>
      <w:r>
        <w:t xml:space="preserve">The reference toolchain includes:</w:t>
      </w:r>
    </w:p>
    <w:p>
      <w:pPr>
        <w:pStyle w:val="Compact"/>
        <w:numPr>
          <w:ilvl w:val="0"/>
          <w:numId w:val="1035"/>
        </w:numPr>
      </w:pPr>
      <w:r>
        <w:rPr>
          <w:rStyle w:val="VerbatimChar"/>
        </w:rPr>
        <w:t xml:space="preserve">synq</w:t>
      </w:r>
      <w:r>
        <w:t xml:space="preserve"> </w:t>
      </w:r>
      <w:r>
        <w:t xml:space="preserve">CLI;</w:t>
      </w:r>
    </w:p>
    <w:p>
      <w:pPr>
        <w:pStyle w:val="Compact"/>
        <w:numPr>
          <w:ilvl w:val="0"/>
          <w:numId w:val="1035"/>
        </w:numPr>
      </w:pPr>
      <w:r>
        <w:t xml:space="preserve">parser and formatter;</w:t>
      </w:r>
    </w:p>
    <w:p>
      <w:pPr>
        <w:pStyle w:val="Compact"/>
        <w:numPr>
          <w:ilvl w:val="0"/>
          <w:numId w:val="1035"/>
        </w:numPr>
      </w:pPr>
      <w:r>
        <w:t xml:space="preserve">compiler and optimizer;</w:t>
      </w:r>
    </w:p>
    <w:p>
      <w:pPr>
        <w:pStyle w:val="Compact"/>
        <w:numPr>
          <w:ilvl w:val="0"/>
          <w:numId w:val="1035"/>
        </w:numPr>
      </w:pPr>
      <w:r>
        <w:t xml:space="preserve">formal verifier and independent proof checker;</w:t>
      </w:r>
    </w:p>
    <w:p>
      <w:pPr>
        <w:pStyle w:val="Compact"/>
        <w:numPr>
          <w:ilvl w:val="0"/>
          <w:numId w:val="1035"/>
        </w:numPr>
      </w:pPr>
      <w:r>
        <w:t xml:space="preserve">artifact and bytecode inspector;</w:t>
      </w:r>
    </w:p>
    <w:p>
      <w:pPr>
        <w:pStyle w:val="Compact"/>
        <w:numPr>
          <w:ilvl w:val="0"/>
          <w:numId w:val="1035"/>
        </w:numPr>
      </w:pPr>
      <w:r>
        <w:t xml:space="preserve">package and dependency manager;</w:t>
      </w:r>
    </w:p>
    <w:p>
      <w:pPr>
        <w:pStyle w:val="Compact"/>
        <w:numPr>
          <w:ilvl w:val="0"/>
          <w:numId w:val="1035"/>
        </w:numPr>
      </w:pPr>
      <w:r>
        <w:t xml:space="preserve">AIVM simulator;</w:t>
      </w:r>
    </w:p>
    <w:p>
      <w:pPr>
        <w:pStyle w:val="Compact"/>
        <w:numPr>
          <w:ilvl w:val="0"/>
          <w:numId w:val="1035"/>
        </w:numPr>
      </w:pPr>
      <w:r>
        <w:t xml:space="preserve">model packager and model-manifest validator;</w:t>
      </w:r>
    </w:p>
    <w:p>
      <w:pPr>
        <w:pStyle w:val="Compact"/>
        <w:numPr>
          <w:ilvl w:val="0"/>
          <w:numId w:val="1035"/>
        </w:numPr>
      </w:pPr>
      <w:r>
        <w:t xml:space="preserve">AI receipt and proof inspector;</w:t>
      </w:r>
    </w:p>
    <w:p>
      <w:pPr>
        <w:pStyle w:val="Compact"/>
        <w:numPr>
          <w:ilvl w:val="0"/>
          <w:numId w:val="1035"/>
        </w:numPr>
      </w:pPr>
      <w:r>
        <w:t xml:space="preserve">language server and IDE extensions;</w:t>
      </w:r>
    </w:p>
    <w:p>
      <w:pPr>
        <w:pStyle w:val="Compact"/>
        <w:numPr>
          <w:ilvl w:val="0"/>
          <w:numId w:val="1035"/>
        </w:numPr>
      </w:pPr>
      <w:r>
        <w:t xml:space="preserve">SDKs for approved client languages; and</w:t>
      </w:r>
    </w:p>
    <w:p>
      <w:pPr>
        <w:pStyle w:val="Compact"/>
        <w:numPr>
          <w:ilvl w:val="0"/>
          <w:numId w:val="1035"/>
        </w:numPr>
      </w:pPr>
      <w:r>
        <w:t xml:space="preserve">conformance, fuzz, benchmark, and deployment tools.</w:t>
      </w:r>
    </w:p>
    <w:bookmarkEnd w:id="144"/>
    <w:bookmarkStart w:id="145" w:name="cli-commands"/>
    <w:p>
      <w:pPr>
        <w:pStyle w:val="Heading2"/>
      </w:pPr>
      <w:r>
        <w:t xml:space="preserve">8.2 CLI Commands</w:t>
      </w:r>
    </w:p>
    <w:p>
      <w:pPr>
        <w:pStyle w:val="SourceCode"/>
      </w:pPr>
      <w:r>
        <w:rPr>
          <w:rStyle w:val="VerbatimChar"/>
        </w:rPr>
        <w:t xml:space="preserve">synq fmt</w:t>
      </w:r>
      <w:r>
        <w:br/>
      </w:r>
      <w:r>
        <w:rPr>
          <w:rStyle w:val="VerbatimChar"/>
        </w:rPr>
        <w:t xml:space="preserve">synq check</w:t>
      </w:r>
      <w:r>
        <w:br/>
      </w:r>
      <w:r>
        <w:rPr>
          <w:rStyle w:val="VerbatimChar"/>
        </w:rPr>
        <w:t xml:space="preserve">synq verify --profile custody-high</w:t>
      </w:r>
      <w:r>
        <w:br/>
      </w:r>
      <w:r>
        <w:rPr>
          <w:rStyle w:val="VerbatimChar"/>
        </w:rPr>
        <w:t xml:space="preserve">synq build --target aivm-v7</w:t>
      </w:r>
      <w:r>
        <w:br/>
      </w:r>
      <w:r>
        <w:rPr>
          <w:rStyle w:val="VerbatimChar"/>
        </w:rPr>
        <w:t xml:space="preserve">synq artifact inspect contract.sqb</w:t>
      </w:r>
      <w:r>
        <w:br/>
      </w:r>
      <w:r>
        <w:rPr>
          <w:rStyle w:val="VerbatimChar"/>
        </w:rPr>
        <w:t xml:space="preserve">synq artifact reproduce contract.sqb</w:t>
      </w:r>
      <w:r>
        <w:br/>
      </w:r>
      <w:r>
        <w:rPr>
          <w:rStyle w:val="VerbatimChar"/>
        </w:rPr>
        <w:t xml:space="preserve">synq model pack model-manifest.toml --out model.aim</w:t>
      </w:r>
      <w:r>
        <w:br/>
      </w:r>
      <w:r>
        <w:rPr>
          <w:rStyle w:val="VerbatimChar"/>
        </w:rPr>
        <w:t xml:space="preserve">synq model verify model.aim</w:t>
      </w:r>
      <w:r>
        <w:br/>
      </w:r>
      <w:r>
        <w:rPr>
          <w:rStyle w:val="VerbatimChar"/>
        </w:rPr>
        <w:t xml:space="preserve">synq simulate --state-root &lt;root&gt; --manifest</w:t>
      </w:r>
      <w:r>
        <w:br/>
      </w:r>
      <w:r>
        <w:rPr>
          <w:rStyle w:val="VerbatimChar"/>
        </w:rPr>
        <w:t xml:space="preserve">synq test --all</w:t>
      </w:r>
      <w:r>
        <w:br/>
      </w:r>
      <w:r>
        <w:rPr>
          <w:rStyle w:val="VerbatimChar"/>
        </w:rPr>
        <w:t xml:space="preserve">synq fuzz --profile security</w:t>
      </w:r>
      <w:r>
        <w:br/>
      </w:r>
      <w:r>
        <w:rPr>
          <w:rStyle w:val="VerbatimChar"/>
        </w:rPr>
        <w:t xml:space="preserve">synq conformance --runtime local</w:t>
      </w:r>
      <w:r>
        <w:br/>
      </w:r>
      <w:r>
        <w:rPr>
          <w:rStyle w:val="VerbatimChar"/>
        </w:rPr>
        <w:t xml:space="preserve">synq upgrade diff old.sqb new.sqb</w:t>
      </w:r>
      <w:r>
        <w:br/>
      </w:r>
      <w:r>
        <w:rPr>
          <w:rStyle w:val="VerbatimChar"/>
        </w:rPr>
        <w:t xml:space="preserve">synq deploy --network testnet contract.sqb</w:t>
      </w:r>
      <w:r>
        <w:br/>
      </w:r>
      <w:r>
        <w:rPr>
          <w:rStyle w:val="VerbatimChar"/>
        </w:rPr>
        <w:t xml:space="preserve">synq aivm doctor</w:t>
      </w:r>
    </w:p>
    <w:bookmarkEnd w:id="145"/>
    <w:bookmarkStart w:id="146" w:name="deterministic-builds"/>
    <w:p>
      <w:pPr>
        <w:pStyle w:val="Heading2"/>
      </w:pPr>
      <w:r>
        <w:t xml:space="preserve">8.3 Deterministic Builds</w:t>
      </w:r>
    </w:p>
    <w:p>
      <w:pPr>
        <w:pStyle w:val="FirstParagraph"/>
      </w:pPr>
      <w:r>
        <w:t xml:space="preserve">The build identity includes compiler digest, standard-library digest, dependency lock, target AIVM profile, build flags, proof profile, and model references. Build workers run in isolated environments without undeclared network access. The resulting artifact includes a reproducible-build attestation or an explicit reason reproducibility is unavailable.</w:t>
      </w:r>
    </w:p>
    <w:bookmarkEnd w:id="146"/>
    <w:bookmarkStart w:id="147" w:name="package-management"/>
    <w:p>
      <w:pPr>
        <w:pStyle w:val="Heading2"/>
      </w:pPr>
      <w:r>
        <w:t xml:space="preserve">8.4 Package Management</w:t>
      </w:r>
    </w:p>
    <w:p>
      <w:pPr>
        <w:pStyle w:val="FirstParagraph"/>
      </w:pPr>
      <w:r>
        <w:t xml:space="preserve">Package manifests declare:</w:t>
      </w:r>
    </w:p>
    <w:p>
      <w:pPr>
        <w:pStyle w:val="Compact"/>
        <w:numPr>
          <w:ilvl w:val="0"/>
          <w:numId w:val="1036"/>
        </w:numPr>
      </w:pPr>
      <w:r>
        <w:t xml:space="preserve">package name and immutable version;</w:t>
      </w:r>
    </w:p>
    <w:p>
      <w:pPr>
        <w:pStyle w:val="Compact"/>
        <w:numPr>
          <w:ilvl w:val="0"/>
          <w:numId w:val="1036"/>
        </w:numPr>
      </w:pPr>
      <w:r>
        <w:t xml:space="preserve">publisher UMA identity;</w:t>
      </w:r>
    </w:p>
    <w:p>
      <w:pPr>
        <w:pStyle w:val="Compact"/>
        <w:numPr>
          <w:ilvl w:val="0"/>
          <w:numId w:val="1036"/>
        </w:numPr>
      </w:pPr>
      <w:r>
        <w:t xml:space="preserve">source and artifact hashes;</w:t>
      </w:r>
    </w:p>
    <w:p>
      <w:pPr>
        <w:pStyle w:val="Compact"/>
        <w:numPr>
          <w:ilvl w:val="0"/>
          <w:numId w:val="1036"/>
        </w:numPr>
      </w:pPr>
      <w:r>
        <w:t xml:space="preserve">dependencies by content hash;</w:t>
      </w:r>
    </w:p>
    <w:p>
      <w:pPr>
        <w:pStyle w:val="Compact"/>
        <w:numPr>
          <w:ilvl w:val="0"/>
          <w:numId w:val="1036"/>
        </w:numPr>
      </w:pPr>
      <w:r>
        <w:t xml:space="preserve">required AIVM and standard-library profiles;</w:t>
      </w:r>
    </w:p>
    <w:p>
      <w:pPr>
        <w:pStyle w:val="Compact"/>
        <w:numPr>
          <w:ilvl w:val="0"/>
          <w:numId w:val="1036"/>
        </w:numPr>
      </w:pPr>
      <w:r>
        <w:t xml:space="preserve">authority and effect summary;</w:t>
      </w:r>
    </w:p>
    <w:p>
      <w:pPr>
        <w:pStyle w:val="Compact"/>
        <w:numPr>
          <w:ilvl w:val="0"/>
          <w:numId w:val="1036"/>
        </w:numPr>
      </w:pPr>
      <w:r>
        <w:t xml:space="preserve">license and security status;</w:t>
      </w:r>
    </w:p>
    <w:p>
      <w:pPr>
        <w:pStyle w:val="Compact"/>
        <w:numPr>
          <w:ilvl w:val="0"/>
          <w:numId w:val="1036"/>
        </w:numPr>
      </w:pPr>
      <w:r>
        <w:t xml:space="preserve">deprecation or revocation state; and</w:t>
      </w:r>
    </w:p>
    <w:p>
      <w:pPr>
        <w:pStyle w:val="Compact"/>
        <w:numPr>
          <w:ilvl w:val="0"/>
          <w:numId w:val="1036"/>
        </w:numPr>
      </w:pPr>
      <w:r>
        <w:t xml:space="preserve">publication receipt.</w:t>
      </w:r>
    </w:p>
    <w:p>
      <w:pPr>
        <w:pStyle w:val="FirstParagraph"/>
      </w:pPr>
      <w:r>
        <w:t xml:space="preserve">Floating version constraints are permitted in local development but resolved to immutable hashes before an artifact becomes mainnet-eligible.</w:t>
      </w:r>
    </w:p>
    <w:bookmarkEnd w:id="147"/>
    <w:bookmarkStart w:id="148" w:name="model-development-workflow"/>
    <w:p>
      <w:pPr>
        <w:pStyle w:val="Heading2"/>
      </w:pPr>
      <w:r>
        <w:t xml:space="preserve">8.5 Model Development Workflow</w:t>
      </w:r>
    </w:p>
    <w:p>
      <w:pPr>
        <w:pStyle w:val="FirstParagraph"/>
      </w:pPr>
      <w:r>
        <w:t xml:space="preserve">Model publication is separate from contract publication:</w:t>
      </w:r>
    </w:p>
    <w:p>
      <w:pPr>
        <w:pStyle w:val="Compact"/>
        <w:numPr>
          <w:ilvl w:val="0"/>
          <w:numId w:val="1037"/>
        </w:numPr>
      </w:pPr>
      <w:r>
        <w:t xml:space="preserve">prepare model, tokenizer/preprocessor, quantization, and operator graph;</w:t>
      </w:r>
    </w:p>
    <w:p>
      <w:pPr>
        <w:pStyle w:val="Compact"/>
        <w:numPr>
          <w:ilvl w:val="0"/>
          <w:numId w:val="1037"/>
        </w:numPr>
      </w:pPr>
      <w:r>
        <w:t xml:space="preserve">produce training/lineage and dataset provenance manifests;</w:t>
      </w:r>
    </w:p>
    <w:p>
      <w:pPr>
        <w:pStyle w:val="Compact"/>
        <w:numPr>
          <w:ilvl w:val="0"/>
          <w:numId w:val="1037"/>
        </w:numPr>
      </w:pPr>
      <w:r>
        <w:t xml:space="preserve">run deterministic or proof-profile conformance;</w:t>
      </w:r>
    </w:p>
    <w:p>
      <w:pPr>
        <w:pStyle w:val="Compact"/>
        <w:numPr>
          <w:ilvl w:val="0"/>
          <w:numId w:val="1037"/>
        </w:numPr>
      </w:pPr>
      <w:r>
        <w:t xml:space="preserve">run safety, adversarial-input, privacy, and resource tests;</w:t>
      </w:r>
    </w:p>
    <w:p>
      <w:pPr>
        <w:pStyle w:val="Compact"/>
        <w:numPr>
          <w:ilvl w:val="0"/>
          <w:numId w:val="1037"/>
        </w:numPr>
      </w:pPr>
      <w:r>
        <w:t xml:space="preserve">package</w:t>
      </w:r>
      <w:r>
        <w:t xml:space="preserve"> </w:t>
      </w:r>
      <w:r>
        <w:rPr>
          <w:rStyle w:val="VerbatimChar"/>
        </w:rPr>
        <w:t xml:space="preserve">.aim</w:t>
      </w:r>
      <w:r>
        <w:t xml:space="preserve"> </w:t>
      </w:r>
      <w:r>
        <w:t xml:space="preserve">artifact;</w:t>
      </w:r>
    </w:p>
    <w:p>
      <w:pPr>
        <w:pStyle w:val="Compact"/>
        <w:numPr>
          <w:ilvl w:val="0"/>
          <w:numId w:val="1037"/>
        </w:numPr>
      </w:pPr>
      <w:r>
        <w:t xml:space="preserve">sign publication through Aegis under the publisher role;</w:t>
      </w:r>
    </w:p>
    <w:p>
      <w:pPr>
        <w:pStyle w:val="Compact"/>
        <w:numPr>
          <w:ilvl w:val="0"/>
          <w:numId w:val="1037"/>
        </w:numPr>
      </w:pPr>
      <w:r>
        <w:t xml:space="preserve">publish to a Model Repository Node and register the immutable model ID;</w:t>
      </w:r>
    </w:p>
    <w:p>
      <w:pPr>
        <w:pStyle w:val="Compact"/>
        <w:numPr>
          <w:ilvl w:val="0"/>
          <w:numId w:val="1037"/>
        </w:numPr>
      </w:pPr>
      <w:r>
        <w:t xml:space="preserve">obtain AI Verification Node receipts where the policy requires; and</w:t>
      </w:r>
    </w:p>
    <w:p>
      <w:pPr>
        <w:pStyle w:val="Compact"/>
        <w:numPr>
          <w:ilvl w:val="0"/>
          <w:numId w:val="1037"/>
        </w:numPr>
      </w:pPr>
      <w:r>
        <w:t xml:space="preserve">reference the immutable model ID from the SynQ artifact.</w:t>
      </w:r>
    </w:p>
    <w:p>
      <w:pPr>
        <w:pStyle w:val="FirstParagraph"/>
      </w:pPr>
      <w:r>
        <w:t xml:space="preserve">A model repository may cache artifacts, but registry state and content digests determine identity.</w:t>
      </w:r>
    </w:p>
    <w:bookmarkEnd w:id="148"/>
    <w:bookmarkStart w:id="149" w:name="ide-and-manifest-support"/>
    <w:p>
      <w:pPr>
        <w:pStyle w:val="Heading2"/>
      </w:pPr>
      <w:r>
        <w:t xml:space="preserve">8.6 IDE and Manifest Support</w:t>
      </w:r>
    </w:p>
    <w:p>
      <w:pPr>
        <w:pStyle w:val="FirstParagraph"/>
      </w:pPr>
      <w:r>
        <w:t xml:space="preserve">The IDE displays inferred authority, effects, facts, model calls, resource bounds, and verification obligations. It warns when:</w:t>
      </w:r>
    </w:p>
    <w:p>
      <w:pPr>
        <w:pStyle w:val="Compact"/>
        <w:numPr>
          <w:ilvl w:val="0"/>
          <w:numId w:val="1038"/>
        </w:numPr>
      </w:pPr>
      <w:r>
        <w:t xml:space="preserve">an AI result can decrease safety rather than only increase it;</w:t>
      </w:r>
    </w:p>
    <w:p>
      <w:pPr>
        <w:pStyle w:val="Compact"/>
        <w:numPr>
          <w:ilvl w:val="0"/>
          <w:numId w:val="1038"/>
        </w:numPr>
      </w:pPr>
      <w:r>
        <w:t xml:space="preserve">a model alias is not pinned;</w:t>
      </w:r>
    </w:p>
    <w:p>
      <w:pPr>
        <w:pStyle w:val="Compact"/>
        <w:numPr>
          <w:ilvl w:val="0"/>
          <w:numId w:val="1038"/>
        </w:numPr>
      </w:pPr>
      <w:r>
        <w:t xml:space="preserve">an external attestation is used for a protected action;</w:t>
      </w:r>
    </w:p>
    <w:p>
      <w:pPr>
        <w:pStyle w:val="Compact"/>
        <w:numPr>
          <w:ilvl w:val="0"/>
          <w:numId w:val="1038"/>
        </w:numPr>
      </w:pPr>
      <w:r>
        <w:t xml:space="preserve">a capability is wider than necessary;</w:t>
      </w:r>
    </w:p>
    <w:p>
      <w:pPr>
        <w:pStyle w:val="Compact"/>
        <w:numPr>
          <w:ilvl w:val="0"/>
          <w:numId w:val="1038"/>
        </w:numPr>
      </w:pPr>
      <w:r>
        <w:t xml:space="preserve">a fact is not consumed exactly once where required;</w:t>
      </w:r>
    </w:p>
    <w:p>
      <w:pPr>
        <w:pStyle w:val="Compact"/>
        <w:numPr>
          <w:ilvl w:val="0"/>
          <w:numId w:val="1038"/>
        </w:numPr>
      </w:pPr>
      <w:r>
        <w:t xml:space="preserve">a loop or output size is insufficiently bounded;</w:t>
      </w:r>
    </w:p>
    <w:p>
      <w:pPr>
        <w:pStyle w:val="Compact"/>
        <w:numPr>
          <w:ilvl w:val="0"/>
          <w:numId w:val="1038"/>
        </w:numPr>
      </w:pPr>
      <w:r>
        <w:t xml:space="preserve">a specification is vacuous or incomplete; or</w:t>
      </w:r>
    </w:p>
    <w:p>
      <w:pPr>
        <w:pStyle w:val="Compact"/>
        <w:numPr>
          <w:ilvl w:val="0"/>
          <w:numId w:val="1038"/>
        </w:numPr>
      </w:pPr>
      <w:r>
        <w:t xml:space="preserve">an upgrade expands authority, effects, dependencies, models, or failure behavior.</w:t>
      </w:r>
    </w:p>
    <w:bookmarkEnd w:id="149"/>
    <w:bookmarkStart w:id="150" w:name="sdk-responsibilities"/>
    <w:p>
      <w:pPr>
        <w:pStyle w:val="Heading2"/>
      </w:pPr>
      <w:r>
        <w:t xml:space="preserve">8.7 SDK Responsibilities</w:t>
      </w:r>
    </w:p>
    <w:p>
      <w:pPr>
        <w:pStyle w:val="FirstParagraph"/>
      </w:pPr>
      <w:r>
        <w:t xml:space="preserve">SDKs encode and decode canonical ABI values, construct authority and fact requests, obtain wallet or SCETP authorization, submit AI jobs, inspect receipts, and verify proofs where appropriate. SDKs do not invent authority or silently accept unverified model outputs.</w:t>
      </w:r>
    </w:p>
    <w:bookmarkEnd w:id="150"/>
    <w:bookmarkStart w:id="151" w:name="simulation-services"/>
    <w:p>
      <w:pPr>
        <w:pStyle w:val="Heading2"/>
      </w:pPr>
      <w:r>
        <w:t xml:space="preserve">8.8 Simulation Services</w:t>
      </w:r>
    </w:p>
    <w:p>
      <w:pPr>
        <w:pStyle w:val="FirstParagraph"/>
      </w:pPr>
      <w:r>
        <w:t xml:space="preserve">Local simulation is preferred. Remote simulation services must use encrypted transport, input limits, state-root binding, no access to private signing keys, explicit retention policy, and a signed response. A remote simulator is not authoritative; its result is checked against local or protocol execution constraints.</w:t>
      </w:r>
    </w:p>
    <w:bookmarkEnd w:id="151"/>
    <w:bookmarkStart w:id="152" w:name="artifact-and-model-transparency"/>
    <w:p>
      <w:pPr>
        <w:pStyle w:val="Heading2"/>
      </w:pPr>
      <w:r>
        <w:t xml:space="preserve">8.9 Artifact and Model Transparency</w:t>
      </w:r>
    </w:p>
    <w:p>
      <w:pPr>
        <w:pStyle w:val="FirstParagraph"/>
      </w:pPr>
      <w:r>
        <w:t xml:space="preserve">Registries maintain append-only publication, deprecation, revocation, and migration records. Security incidents involving a compiler, library, runtime, model, dataset, or proof profile must support inventory of affected contracts, model references, receipts, and pending jobs.</w:t>
      </w:r>
    </w:p>
    <w:bookmarkEnd w:id="152"/>
    <w:bookmarkStart w:id="153" w:name="toolchain-security"/>
    <w:p>
      <w:pPr>
        <w:pStyle w:val="Heading2"/>
      </w:pPr>
      <w:r>
        <w:t xml:space="preserve">8.10 Toolchain Security</w:t>
      </w:r>
    </w:p>
    <w:p>
      <w:pPr>
        <w:pStyle w:val="FirstParagraph"/>
      </w:pPr>
      <w:r>
        <w:t xml:space="preserve">Compiler, verifier, standard library, model packager, runtime, IDE extension, and deployment tools require signed releases, SBOMs, dependency pinning, release provenance, and revocation procedures. Production admission rejects unapproved toolchain profiles when required by governance.</w:t>
      </w:r>
    </w:p>
    <w:bookmarkEnd w:id="153"/>
    <w:bookmarkEnd w:id="154"/>
    <w:bookmarkStart w:id="169" w:name="X9104cb680f4a37dffc4f97f3442a931c7aa1d76"/>
    <w:sectPr>
      <w:headerReference r:id="rId9" w:type="default"/>
      <w:footerReference r:id="rId10" w:type="default"/>
      <w:pgSz w:h="15840" w:w="12240"/>
      <w:pgMar w:bottom="936" w:footer="403" w:header="403" w:left="1037" w:right="1037"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66666"/>
        <w:sz w:val="15"/>
      </w:rPr>
      <w:t xml:space="preserve">SECURITY-ALIGNED TECHNICAL SPECIFICATION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2" w:color="4F81BD"/>
      </w:pBdr>
    </w:pPr>
    <w:r>
      <w:rPr>
        <w:rFonts w:ascii="Cambria" w:hAnsi="Cambria"/>
        <w:b/>
        <w:color w:val="345A8A"/>
        <w:sz w:val="16"/>
      </w:rPr>
      <w:t>SYNERGY NETWORK  |  SYNQ / AIVM TECHNICAL SPECIFICATION v7</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45" w:lineRule="auto"/>
    </w:pPr>
    <w:rPr>
      <w:rFonts w:ascii="Cambria" w:eastAsia="Cambria" w:hAnsi="Cambria"/>
      <w:sz w:val="19"/>
    </w:rPr>
  </w:style>
  <w:style w:styleId="BodyText" w:type="paragraph">
    <w:name w:val="Body Text"/>
    <w:basedOn w:val="Normal"/>
    <w:link w:val="BodyTextChar"/>
    <w:pPr>
      <w:spacing w:after="80" w:before="180" w:line="245" w:lineRule="auto"/>
    </w:pPr>
    <w:qFormat/>
    <w:rPr>
      <w:rFonts w:ascii="Cambria" w:eastAsia="Cambria" w:hAnsi="Cambria"/>
      <w:sz w:val="19"/>
    </w:rPr>
  </w:style>
  <w:style w:customStyle="1" w:styleId="FirstParagraph" w:type="paragraph">
    <w:name w:val="First Paragraph"/>
    <w:basedOn w:val="BodyText"/>
    <w:next w:val="BodyText"/>
    <w:qFormat/>
    <w:pPr>
      <w:spacing w:after="80" w:line="245" w:lineRule="auto"/>
    </w:pPr>
    <w:rPr>
      <w:rFonts w:ascii="Cambria" w:eastAsia="Cambria" w:hAnsi="Cambria"/>
      <w:sz w:val="19"/>
    </w:rPr>
  </w:style>
  <w:style w:customStyle="1" w:styleId="Compact" w:type="paragraph">
    <w:name w:val="Compact"/>
    <w:basedOn w:val="BodyText"/>
    <w:qFormat/>
    <w:pPr>
      <w:spacing w:after="30" w:before="36" w:line="245" w:lineRule="auto"/>
    </w:pPr>
    <w:rPr>
      <w:rFonts w:ascii="Cambria" w:eastAsia="Cambria" w:hAnsi="Cambria"/>
      <w:sz w:val="18"/>
    </w:rPr>
  </w:style>
  <w:style w:styleId="Title" w:type="paragraph">
    <w:name w:val="Title"/>
    <w:basedOn w:val="Normal"/>
    <w:next w:val="BodyText"/>
    <w:qFormat/>
    <w:pPr>
      <w:keepNext/>
      <w:keepLines/>
      <w:spacing w:after="80" w:before="0"/>
      <w:jc w:val="center"/>
    </w:pPr>
    <w:rPr>
      <w:rFonts w:ascii="Calibri" w:asciiTheme="majorHAnsi" w:cstheme="majorBidi" w:eastAsia="Calibri" w:eastAsiaTheme="majorEastAsia" w:hAnsi="Calibri" w:hAnsiTheme="majorHAnsi"/>
      <w:b/>
      <w:bCs/>
      <w:color w:val="345A8A"/>
      <w:sz w:val="44"/>
      <w:szCs w:val="36"/>
    </w:rPr>
  </w:style>
  <w:style w:styleId="Subtitle" w:type="paragraph">
    <w:name w:val="Subtitle"/>
    <w:basedOn w:val="Title"/>
    <w:next w:val="BodyText"/>
    <w:qFormat/>
    <w:pPr>
      <w:keepNext/>
      <w:keepLines/>
      <w:spacing w:after="80" w:before="0"/>
      <w:jc w:val="center"/>
    </w:pPr>
    <w:rPr>
      <w:rFonts w:ascii="Calibri" w:eastAsia="Calibri" w:hAnsi="Calibri"/>
      <w:b w:val="0"/>
      <w:color w:val="345A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180"/>
      <w:outlineLvl w:val="0"/>
    </w:pPr>
    <w:rPr>
      <w:rFonts w:ascii="Cambria" w:asciiTheme="majorHAnsi" w:cstheme="majorBidi" w:eastAsia="Cambria" w:eastAsiaTheme="majorEastAsia" w:hAnsi="Cambria" w:hAnsiTheme="majorHAnsi"/>
      <w:b/>
      <w:bCs/>
      <w:color w:val="4F81BD"/>
      <w:sz w:val="32"/>
      <w:szCs w:val="32"/>
    </w:rPr>
  </w:style>
  <w:style w:styleId="Heading2" w:type="paragraph">
    <w:name w:val="Heading 2"/>
    <w:basedOn w:val="Normal"/>
    <w:next w:val="BodyText"/>
    <w:uiPriority w:val="9"/>
    <w:unhideWhenUsed/>
    <w:qFormat/>
    <w:pPr>
      <w:keepNext/>
      <w:keepLines/>
      <w:spacing w:after="80" w:before="180"/>
      <w:outlineLvl w:val="1"/>
    </w:pPr>
    <w:rPr>
      <w:rFonts w:ascii="Cambria" w:asciiTheme="majorHAnsi" w:cstheme="majorBidi" w:eastAsia="Cambria" w:eastAsiaTheme="majorEastAsia" w:hAnsi="Cambria" w:hAnsiTheme="majorHAnsi"/>
      <w:b/>
      <w:bCs/>
      <w:color w:val="4F81BD"/>
      <w:sz w:val="27"/>
      <w:szCs w:val="28"/>
    </w:rPr>
  </w:style>
  <w:style w:styleId="Heading3" w:type="paragraph">
    <w:name w:val="Heading 3"/>
    <w:basedOn w:val="Normal"/>
    <w:next w:val="BodyText"/>
    <w:uiPriority w:val="9"/>
    <w:unhideWhenUsed/>
    <w:qFormat/>
    <w:pPr>
      <w:keepNext/>
      <w:keepLines/>
      <w:spacing w:after="80" w:before="180"/>
      <w:outlineLvl w:val="2"/>
    </w:pPr>
    <w:rPr>
      <w:rFonts w:ascii="Cambria" w:asciiTheme="majorHAnsi" w:cstheme="majorBidi" w:eastAsia="Cambria" w:eastAsiaTheme="majorEastAsia" w:hAnsi="Cambria" w:hAnsiTheme="majorHAnsi"/>
      <w:b/>
      <w:bCs/>
      <w:color w:val="4F81BD"/>
      <w:sz w:val="23"/>
      <w:szCs w:val="24"/>
    </w:rPr>
  </w:style>
  <w:style w:styleId="Heading4" w:type="paragraph">
    <w:name w:val="Heading 4"/>
    <w:basedOn w:val="Normal"/>
    <w:next w:val="BodyText"/>
    <w:uiPriority w:val="9"/>
    <w:unhideWhenUsed/>
    <w:qFormat/>
    <w:pPr>
      <w:keepNext/>
      <w:keepLines/>
      <w:spacing w:after="80" w:before="180"/>
      <w:outlineLvl w:val="3"/>
    </w:pPr>
    <w:rPr>
      <w:rFonts w:ascii="Cambria" w:asciiTheme="majorHAnsi" w:cstheme="majorBidi" w:eastAsia="Cambria" w:eastAsiaTheme="majorEastAsia" w:hAnsi="Cambria" w:hAnsiTheme="majorHAnsi"/>
      <w:i/>
      <w:b/>
      <w:bCs/>
      <w:color w:val="4F81BD"/>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80"/>
      <w:ind w:firstLine="0" w:left="317" w:right="259"/>
    </w:pPr>
    <w:rPr>
      <w:rFonts w:ascii="Cambria" w:hAnsi="Cambria"/>
      <w:sz w:val="18"/>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40"/>
    </w:pPr>
    <w:rPr>
      <w:rFonts w:ascii="Cambria" w:hAnsi="Cambria"/>
      <w:i/>
      <w:sz w:val="17"/>
    </w:rPr>
  </w:style>
  <w:style w:customStyle="1" w:styleId="TableCaption" w:type="paragraph">
    <w:name w:val="Table Caption"/>
    <w:basedOn w:val="Caption"/>
    <w:pPr>
      <w:keepNext/>
      <w:spacing w:after="100" w:before="40"/>
    </w:pPr>
    <w:rPr>
      <w:rFonts w:ascii="Cambria" w:hAnsi="Cambria"/>
      <w:i/>
      <w:sz w:val="17"/>
    </w:rPr>
  </w:style>
  <w:style w:customStyle="1" w:styleId="ImageCaption" w:type="paragraph">
    <w:name w:val="Image Caption"/>
    <w:basedOn w:val="Caption"/>
    <w:pPr>
      <w:spacing w:after="100" w:before="40"/>
    </w:pPr>
    <w:rPr>
      <w:rFonts w:ascii="Cambria" w:hAnsi="Cambria"/>
      <w:i/>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80" w:before="60"/>
      <w:ind w:left="216" w:right="216"/>
    </w:pPr>
    <w:rPr>
      <w:rFonts w:ascii="Consolas" w:eastAsia="Consolas" w:hAnsi="Consolas"/>
      <w:sz w:val="16"/>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106" Target="media/rId106.png" /><Relationship Type="http://schemas.openxmlformats.org/officeDocument/2006/relationships/image" Id="rId96" Target="media/rId9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8 — Toolchain and Developer Workflow</dc:title>
  <dc:creator>Synergy Network</dc:creator>
  <dc:language>en-US</dc:language>
  <cp:keywords/>
  <dcterms:created xsi:type="dcterms:W3CDTF">2026-07-15T16:31:13Z</dcterms:created>
  <dcterms:modified xsi:type="dcterms:W3CDTF">2026-07-15T16:31:13Z</dcterms:modified>
  <dc:subject>SynQ Language and AI-Powered Virtual Machine (AIVM) Technical Specification, Version 7.0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Version 7.0 — Security, Authority, and Intelligence-Layer Aligned Edition</vt:lpwstr>
  </property>
</Properties>
</file>