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Appendix J — Implementation Checklist</w:t>
      </w:r>
    </w:p>
    <w:p>
      <w:pPr>
        <w:pStyle w:val="FirstParagraph"/>
      </w:pPr>
      <w:r>
        <w:t xml:space="preserve">Before declaring a SynQ/AIVM implementation conforming, confirm:</w:t>
      </w:r>
    </w:p>
    <w:p>
      <w:pPr>
        <w:pStyle w:val="Compact"/>
        <w:numPr>
          <w:ilvl w:val="0"/>
          <w:numId w:val="1047"/>
        </w:numPr>
      </w:pPr>
      <w:r>
        <w:t xml:space="preserve">☐ canonical source profile and grammar are implemented;</w:t>
      </w:r>
    </w:p>
    <w:p>
      <w:pPr>
        <w:pStyle w:val="Compact"/>
        <w:numPr>
          <w:ilvl w:val="0"/>
          <w:numId w:val="1047"/>
        </w:numPr>
      </w:pPr>
      <w:r>
        <w:t xml:space="preserve">☐ type, linearity, authority, effect, boundedness, and failure checks pass;</w:t>
      </w:r>
    </w:p>
    <w:p>
      <w:pPr>
        <w:pStyle w:val="Compact"/>
        <w:numPr>
          <w:ilvl w:val="0"/>
          <w:numId w:val="1047"/>
        </w:numPr>
      </w:pPr>
      <w:r>
        <w:t xml:space="preserve">☐ proof checker is independent and fail-closed;</w:t>
      </w:r>
    </w:p>
    <w:p>
      <w:pPr>
        <w:pStyle w:val="Compact"/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.sqb</w:t>
      </w:r>
      <w:r>
        <w:t xml:space="preserve"> </w:t>
      </w:r>
      <w:r>
        <w:t xml:space="preserve">sections are hash-bound and bytecode-verified;</w:t>
      </w:r>
    </w:p>
    <w:p>
      <w:pPr>
        <w:pStyle w:val="Compact"/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.aim</w:t>
      </w:r>
      <w:r>
        <w:t xml:space="preserve"> </w:t>
      </w:r>
      <w:r>
        <w:t xml:space="preserve">model identity binds graph, weights, preprocessing, quantization, runtime, safety, and publication;</w:t>
      </w:r>
    </w:p>
    <w:p>
      <w:pPr>
        <w:pStyle w:val="Compact"/>
        <w:numPr>
          <w:ilvl w:val="0"/>
          <w:numId w:val="1047"/>
        </w:numPr>
      </w:pPr>
      <w:r>
        <w:t xml:space="preserve">☐ AIVM and SynQ-VM boundaries are explicit;</w:t>
      </w:r>
    </w:p>
    <w:p>
      <w:pPr>
        <w:pStyle w:val="Compact"/>
        <w:numPr>
          <w:ilvl w:val="0"/>
          <w:numId w:val="1047"/>
        </w:numPr>
      </w:pPr>
      <w:r>
        <w:t xml:space="preserve">☐ no ambient host authority is exposed;</w:t>
      </w:r>
    </w:p>
    <w:p>
      <w:pPr>
        <w:pStyle w:val="Compact"/>
        <w:numPr>
          <w:ilvl w:val="0"/>
          <w:numId w:val="1047"/>
        </w:numPr>
      </w:pPr>
      <w:r>
        <w:t xml:space="preserve">☐ canonical serial execution and cross-client parity pass;</w:t>
      </w:r>
    </w:p>
    <w:p>
      <w:pPr>
        <w:pStyle w:val="Compact"/>
        <w:numPr>
          <w:ilvl w:val="0"/>
          <w:numId w:val="1047"/>
        </w:numPr>
      </w:pPr>
      <w:r>
        <w:t xml:space="preserve">☐ meters cover CPU, memory, storage, cryptography, proof, AI, events, and state growth;</w:t>
      </w:r>
    </w:p>
    <w:p>
      <w:pPr>
        <w:pStyle w:val="Compact"/>
        <w:numPr>
          <w:ilvl w:val="0"/>
          <w:numId w:val="1047"/>
        </w:numPr>
      </w:pPr>
      <w:r>
        <w:t xml:space="preserve">☐ state journal, event rollback, and crash consistency pass;</w:t>
      </w:r>
    </w:p>
    <w:p>
      <w:pPr>
        <w:pStyle w:val="Compact"/>
        <w:numPr>
          <w:ilvl w:val="0"/>
          <w:numId w:val="1047"/>
        </w:numPr>
      </w:pPr>
      <w:r>
        <w:t xml:space="preserve">☐ UMA authority and capability attenuation pass;</w:t>
      </w:r>
    </w:p>
    <w:p>
      <w:pPr>
        <w:pStyle w:val="Compact"/>
        <w:numPr>
          <w:ilvl w:val="0"/>
          <w:numId w:val="1047"/>
        </w:numPr>
      </w:pPr>
      <w:r>
        <w:t xml:space="preserve">☐ SCETP/SXCP fact context and replay tests pass;</w:t>
      </w:r>
    </w:p>
    <w:p>
      <w:pPr>
        <w:pStyle w:val="Compact"/>
        <w:numPr>
          <w:ilvl w:val="0"/>
          <w:numId w:val="1047"/>
        </w:numPr>
      </w:pPr>
      <w:r>
        <w:t xml:space="preserve">☐ native AI outputs are bit-identical across approved backends;</w:t>
      </w:r>
    </w:p>
    <w:p>
      <w:pPr>
        <w:pStyle w:val="Compact"/>
        <w:numPr>
          <w:ilvl w:val="0"/>
          <w:numId w:val="1047"/>
        </w:numPr>
      </w:pPr>
      <w:r>
        <w:t xml:space="preserve">☐ proof-verified and attested AI receipt tests pass;</w:t>
      </w:r>
    </w:p>
    <w:p>
      <w:pPr>
        <w:pStyle w:val="Compact"/>
        <w:numPr>
          <w:ilvl w:val="0"/>
          <w:numId w:val="1047"/>
        </w:numPr>
      </w:pPr>
      <w:r>
        <w:t xml:space="preserve">☐ AI policy gate prevents authority expansion and safety reduction;</w:t>
      </w:r>
    </w:p>
    <w:p>
      <w:pPr>
        <w:pStyle w:val="Compact"/>
        <w:numPr>
          <w:ilvl w:val="0"/>
          <w:numId w:val="1047"/>
        </w:numPr>
      </w:pPr>
      <w:r>
        <w:t xml:space="preserve">☐ agent tools, memory, steps, and spend are bounded;</w:t>
      </w:r>
    </w:p>
    <w:p>
      <w:pPr>
        <w:pStyle w:val="Compact"/>
        <w:numPr>
          <w:ilvl w:val="0"/>
          <w:numId w:val="1047"/>
        </w:numPr>
      </w:pPr>
      <w:r>
        <w:t xml:space="preserve">☐ model, dependency, runtime, and artifact registries have signed provenance and revocation;</w:t>
      </w:r>
    </w:p>
    <w:p>
      <w:pPr>
        <w:pStyle w:val="Compact"/>
        <w:numPr>
          <w:ilvl w:val="0"/>
          <w:numId w:val="1047"/>
        </w:numPr>
      </w:pPr>
      <w:r>
        <w:t xml:space="preserve">☐ deployment, upgrade, quarantine, corrective transition, and end-of-life workflows are tested;</w:t>
      </w:r>
    </w:p>
    <w:p>
      <w:pPr>
        <w:pStyle w:val="Compact"/>
        <w:numPr>
          <w:ilvl w:val="0"/>
          <w:numId w:val="1047"/>
        </w:numPr>
      </w:pPr>
      <w:r>
        <w:t xml:space="preserve">☐ production admin/debug interfaces remain private and audited; and</w:t>
      </w:r>
    </w:p>
    <w:p>
      <w:pPr>
        <w:pStyle w:val="Compact"/>
        <w:numPr>
          <w:ilvl w:val="0"/>
          <w:numId w:val="1047"/>
        </w:numPr>
      </w:pPr>
      <w:r>
        <w:t xml:space="preserve">☐ Intelligence Layer route, capacity, inference, verification, policy, and action receipts form a complete, non-substitutable chain;</w:t>
      </w:r>
    </w:p>
    <w:p>
      <w:pPr>
        <w:pStyle w:val="Compact"/>
        <w:numPr>
          <w:ilvl w:val="0"/>
          <w:numId w:val="1047"/>
        </w:numPr>
      </w:pPr>
      <w:r>
        <w:t xml:space="preserve">☐ AIVM failure handling never downgrades trust mode or expands authority; and</w:t>
      </w:r>
    </w:p>
    <w:p>
      <w:pPr>
        <w:pStyle w:val="Compact"/>
        <w:numPr>
          <w:ilvl w:val="0"/>
          <w:numId w:val="1047"/>
        </w:numPr>
      </w:pPr>
      <w:r>
        <w:t xml:space="preserve">☐ independent audit has no unresolved Critical or High findings.</w:t>
      </w:r>
    </w:p>
    <w:bookmarkEnd w:id="235"/>
    <w:bookmarkStart w:id="242" w:name="Xec15ad4ca17a10bd41615598b54fd8d09638d5c"/>
    <w:sectPr>
      <w:headerReference r:id="rId9" w:type="default"/>
      <w:footerReference r:id="rId10" w:type="default"/>
      <w:pgSz w:h="15840" w:w="12240"/>
      <w:pgMar w:bottom="936" w:footer="403" w:header="403" w:left="1037" w:right="1037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666666"/>
        <w:sz w:val="15"/>
      </w:rPr>
      <w:t xml:space="preserve">SECURITY-ALIGNED TECHNICAL SPECIFICATION  |  Page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4F81BD"/>
      </w:pBdr>
    </w:pPr>
    <w:r>
      <w:rPr>
        <w:rFonts w:ascii="Cambria" w:hAnsi="Cambria"/>
        <w:b/>
        <w:color w:val="345A8A"/>
        <w:sz w:val="16"/>
      </w:rPr>
      <w:t>SYNERGY NETWORK  |  SYNQ / AIVM TECHNICAL SPECIFICATION v7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45" w:lineRule="auto"/>
    </w:pPr>
    <w:rPr>
      <w:rFonts w:ascii="Cambria" w:eastAsia="Cambria" w:hAnsi="Cambria"/>
      <w:sz w:val="19"/>
    </w:rPr>
  </w:style>
  <w:style w:styleId="BodyText" w:type="paragraph">
    <w:name w:val="Body Text"/>
    <w:basedOn w:val="Normal"/>
    <w:link w:val="BodyTextChar"/>
    <w:pPr>
      <w:spacing w:after="80" w:before="180" w:line="245" w:lineRule="auto"/>
    </w:pPr>
    <w:qFormat/>
    <w:rPr>
      <w:rFonts w:ascii="Cambria" w:eastAsia="Cambria" w:hAnsi="Cambria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245" w:lineRule="auto"/>
    </w:pPr>
    <w:rPr>
      <w:rFonts w:ascii="Cambria" w:eastAsia="Cambria" w:hAnsi="Cambria"/>
      <w:sz w:val="19"/>
    </w:rPr>
  </w:style>
  <w:style w:customStyle="1" w:styleId="Compact" w:type="paragraph">
    <w:name w:val="Compact"/>
    <w:basedOn w:val="BodyText"/>
    <w:qFormat/>
    <w:pPr>
      <w:spacing w:after="30" w:before="36" w:line="245" w:lineRule="auto"/>
    </w:pPr>
    <w:rPr>
      <w:rFonts w:ascii="Cambria" w:eastAsia="Cambria" w:hAnsi="Cambria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/>
      <w:jc w:val="center"/>
    </w:pPr>
    <w:rPr>
      <w:rFonts w:ascii="Calibri" w:eastAsia="Calibri" w:hAnsi="Calibri"/>
      <w:b w:val="0"/>
      <w:color w:val="345A8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80"/>
      <w:outlineLvl w:val="0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80"/>
      <w:outlineLvl w:val="1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80"/>
      <w:outlineLvl w:val="3"/>
    </w:pPr>
    <w:rPr>
      <w:rFonts w:ascii="Cambria" w:asciiTheme="majorHAnsi" w:cstheme="majorBidi" w:eastAsia="Cambria" w:eastAsiaTheme="majorEastAsia" w:hAnsi="Cambria" w:hAnsiTheme="majorHAnsi"/>
      <w:i/>
      <w:b/>
      <w:bCs/>
      <w:color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80"/>
      <w:ind w:firstLine="0" w:left="317" w:right="259"/>
    </w:pPr>
    <w:rPr>
      <w:rFonts w:ascii="Cambria" w:hAnsi="Cambria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/>
    </w:pPr>
    <w:rPr>
      <w:rFonts w:ascii="Cambria" w:hAnsi="Cambria"/>
      <w:i/>
      <w:sz w:val="17"/>
    </w:rPr>
  </w:style>
  <w:style w:customStyle="1" w:styleId="TableCaption" w:type="paragraph">
    <w:name w:val="Table Caption"/>
    <w:basedOn w:val="Caption"/>
    <w:pPr>
      <w:keepNext/>
      <w:spacing w:after="100" w:before="40"/>
    </w:pPr>
    <w:rPr>
      <w:rFonts w:ascii="Cambria" w:hAnsi="Cambria"/>
      <w:i/>
      <w:sz w:val="17"/>
    </w:rPr>
  </w:style>
  <w:style w:customStyle="1" w:styleId="ImageCaption" w:type="paragraph">
    <w:name w:val="Image Caption"/>
    <w:basedOn w:val="Caption"/>
    <w:pPr>
      <w:spacing w:after="100" w:before="40"/>
    </w:pPr>
    <w:rPr>
      <w:rFonts w:ascii="Cambria" w:hAnsi="Cambria"/>
      <w:i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60"/>
      <w:ind w:left="216" w:right="216"/>
    </w:pPr>
    <w:rPr>
      <w:rFonts w:ascii="Consolas" w:eastAsia="Consolas" w:hAnsi="Consolas"/>
      <w:sz w:val="16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1" Type="http://schemas.openxmlformats.org/officeDocument/2006/relationships/image" Target="media/rId41.png"/><Relationship Id="rId106" Type="http://schemas.openxmlformats.org/officeDocument/2006/relationships/image" Target="media/rId106.png"/><Relationship Id="rId96" Type="http://schemas.openxmlformats.org/officeDocument/2006/relationships/image" Target="media/rId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J — Implementation Checklist</dc:title>
  <dc:creator>Synergy Network</dc:creator>
  <dc:language>en-US</dc:language>
  <cp:keywords/>
  <dcterms:created xsi:type="dcterms:W3CDTF">2026-07-15T16:31:13Z</dcterms:created>
  <dcterms:modified xsi:type="dcterms:W3CDTF">2026-07-15T16:31:13Z</dcterms:modified>
  <dc:subject>SynQ v7 AIVM standalone appendix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Version 7.0 — Security, Authority, and Intelligence-Layer Aligned Edition</vt:lpwstr>
  </property>
</Properties>
</file>