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Wnoszę o wyznaczenie terminu rozprawy. Pełnomocnik wnioskodawczyni Michalina Krzemień-Zawadzka podtrzymuje wnioski dowodowe.</w:t>
      </w:r>
    </w:p>
    <w:sectPr>
      <w:headerReference w:type="default" r:id="rId11"/>
      <w:footerReference w:type="default" r:id="rId12"/>
    </w:sectPr>
  </w:body>
</w:document>
</file>

<file path=word/footer1.xml><?xml version="1.0" encoding="utf-8"?>
<w:ftr xmlns:w="http://schemas.openxmlformats.org/wordprocessingml/2006/main">
  <w:p>
    <w:r>
      <w:t xml:space="preserve">rachunek: PL41 1140 2004 0000 9876 5432 1098 | biuro@zuraw-partnerzy.pl</w:t>
    </w:r>
  </w:p>
</w:ftr>
</file>

<file path=word/header1.xml><?xml version="1.0" encoding="utf-8"?>
<w:hdr xmlns:w="http://schemas.openxmlformats.org/wordprocessingml/2006/main">
  <w:p>
    <w:r>
      <w:t xml:space="preserve">Kancelaria Radcy Prawnego „Żuraw i Partnerzy”</w:t>
    </w:r>
  </w:p>
  <w:p>
    <w:r>
      <w:t xml:space="preserve">ul. Szeroka 40/2, 87-100 Toruń, NIP 8562349172</w:t>
    </w:r>
  </w:p>
</w:hdr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