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Dataset Selection</w:t>
      </w:r>
    </w:p>
    <w:p>
      <w:pPr>
        <w:spacing w:after="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SCRUM-19 — SurfWatch Team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SCRUM Sprint 1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This document records the final dataset selection for the SurfWatch MVP rip-current detection model.</w:t>
      </w:r>
    </w:p>
    <w:p>
      <w:pPr>
        <w:spacing w:after="1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Primary Dataset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RipVIS v1.8.4 — Irikos / CVPR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https://huggingface.co/datasets/Irikos/RipVIS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Size: </w:t>
      </w:r>
      <w:r>
        <w:rPr>
          <w:rFonts w:ascii="Arial" w:cs="Arial" w:eastAsia="Arial" w:hAnsi="Arial"/>
          <w:sz w:val="20"/>
          <w:szCs w:val="20"/>
        </w:rPr>
        <w:t xml:space="preserve">184 videos (150 with annotated rip currents) + 2,466 additional images from CVPRW 2023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Annotation type: </w:t>
      </w:r>
      <w:r>
        <w:rPr>
          <w:rFonts w:ascii="Arial" w:cs="Arial" w:eastAsia="Arial" w:hAnsi="Arial"/>
          <w:sz w:val="20"/>
          <w:szCs w:val="20"/>
        </w:rPr>
        <w:t xml:space="preserve">Instance segmentation (polygon) + YOLO format annotations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Splits: </w:t>
      </w:r>
      <w:r>
        <w:rPr>
          <w:rFonts w:ascii="Arial" w:cs="Arial" w:eastAsia="Arial" w:hAnsi="Arial"/>
          <w:sz w:val="20"/>
          <w:szCs w:val="20"/>
        </w:rPr>
        <w:t xml:space="preserve">Train / Validation / Test (manually split by rip current domain experts)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License: </w:t>
      </w:r>
      <w:r>
        <w:rPr>
          <w:rFonts w:ascii="Arial" w:cs="Arial" w:eastAsia="Arial" w:hAnsi="Arial"/>
          <w:sz w:val="20"/>
          <w:szCs w:val="20"/>
        </w:rPr>
        <w:t xml:space="preserve">CC BY-NC 4.0 (non-commercial use only)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Selection Reasoning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Highest annotation quality of all evaluated datasets — polygon-level instance segmentation with expert-validated splits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Includes full videos alongside sampled frames, providing temporal diversity for real-world beach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Bundles the earlier CVPRW 2023 dataset (2,466 extra annotated images) directly in the training split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Accepted at CVPR 2025, providing a strong and reproducible benchmark baseline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Available via HuggingFace with COCO and YOLO format annotations ready to use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Licensing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Non-commercial use only — suitable for this MVP/research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Attribution required (cite Dumitriu et al., CVPR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dataset redistribution not permitted without written permission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Redistribution as part of a derivative dataset only permitted if RipVIS is 20% or less of the resulting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For any future commercial deployment, contact: andrei.dumitriu@uni-wuerzburg.de</w:t>
      </w:r>
    </w:p>
    <w:p>
      <w:pPr>
        <w:spacing w:after="1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Backup Dataset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Roboflow — Rip Current Monitoring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https://universe.roboflow.com/ripcurrent-machine-learning/rip-current-monitoring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Size: </w:t>
      </w:r>
      <w:r>
        <w:rPr>
          <w:rFonts w:ascii="Arial" w:cs="Arial" w:eastAsia="Arial" w:hAnsi="Arial"/>
          <w:sz w:val="20"/>
          <w:szCs w:val="20"/>
        </w:rPr>
        <w:t xml:space="preserve">2,246 images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Annotation type: </w:t>
      </w:r>
      <w:r>
        <w:rPr>
          <w:rFonts w:ascii="Arial" w:cs="Arial" w:eastAsia="Arial" w:hAnsi="Arial"/>
          <w:sz w:val="20"/>
          <w:szCs w:val="20"/>
        </w:rPr>
        <w:t xml:space="preserve">Bounding box detection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License: </w:t>
      </w:r>
      <w:r>
        <w:rPr>
          <w:rFonts w:ascii="Arial" w:cs="Arial" w:eastAsia="Arial" w:hAnsi="Arial"/>
          <w:sz w:val="20"/>
          <w:szCs w:val="20"/>
        </w:rPr>
        <w:t xml:space="preserve">Open (Roboflow Universe)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Selection Reasoning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Zero-friction access — downloadable immediately with no author contact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Supports multiple export formats (YOLO, COCO, TFRecord), reducing integration effort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Fully open license with no commercial restrictions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Serves as a reliable fallback if the primary dataset is insufficient or needs augmentation</w:t>
      </w:r>
    </w:p>
    <w:p>
      <w:pPr>
        <w:spacing w:after="1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Licensing &amp; Reuse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000"/>
        <w:gridCol w:w="2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 use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Redistribution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RipVIS v1.8.4 (primary)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 BY-NC 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(research/MVP only)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Restricted (&lt;=20% of derivative dataset)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Roboflow Rip Current Monitoring (backup)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Acceptance Criteria Coverage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primary dataset selected for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RipVIS v1.8.4 (Irikos / CVPR 2025)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dataset identified if needed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Roboflow Rip Current Monitoring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Reasons for selection documented in repo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Licensing/reuse considerations noted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table above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Citation</w:t>
      </w:r>
    </w:p>
    <w:p>
      <w:pPr>
        <w:spacing w:after="20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@inproceedings{dumitriu2025ripvis,
  author = {Dumitriu, Andrei and Tatui, Florin and Miron, Florin and Ralhan, Aakash and Ionescu, Radu Tudor and Timofte, Radu},
  title = {RipVIS: Rip Currents Video Instance Segmentation Benchmark for Beach Monitoring and Safety},
  booktitle = {Proceedings of the IEEE/CVF Conference on Computer Vision and Pattern Recognition (CVPR)},
  month = {June},
  year = {2025},
  pages = {3427--3437}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2026-03-26T03:07:15.437Z</dcterms:created>
  <dcterms:modified xsi:type="dcterms:W3CDTF">2026-03-26T03:07:15.437Z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