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60"/>
        <w:jc w:val="center"/>
      </w:pPr>
      <w:r>
        <w:rPr>
          <w:rFonts w:ascii="Times New Roman" w:hAnsi="Times New Roman"/>
          <w:b/>
          <w:i w:val="0"/>
          <w:sz w:val="28"/>
          <w:u w:val="none"/>
        </w:rPr>
        <w:t>DETECÇÃO E CLASSIFICAÇÃO DE EVENTOS INDESEJÁVEIS EM POÇOS DE PETRÓLEO OFFSHORE UTILIZANDO APRENDIZADO DE MÁQUINA: UMA ABORDAGEM COM ARQUITETURA MEDALLION E INTERPRETABILIDADE SHAP</w:t>
      </w:r>
    </w:p>
    <w:p>
      <w:pPr>
        <w:spacing w:before="0" w:after="240" w:lineRule="auto" w:line="360"/>
        <w:jc w:val="center"/>
      </w:pPr>
      <w:r>
        <w:rPr>
          <w:rFonts w:ascii="Times New Roman" w:hAnsi="Times New Roman"/>
          <w:b w:val="0"/>
          <w:i/>
          <w:sz w:val="24"/>
          <w:u w:val="none"/>
        </w:rPr>
        <w:t>DETECTION AND CLASSIFICATION OF UNDESIRABLE EVENTS IN OFFSHORE OIL WELLS USING MACHINE LEARNING: A MEDALLION ARCHITECTURE AND SHAP INTERPRETABILITY APPROACH</w:t>
      </w:r>
    </w:p>
    <w:p>
      <w:pPr>
        <w:spacing w:before="0" w:after="60" w:lineRule="auto" w:line="240"/>
        <w:jc w:val="center"/>
      </w:pPr>
      <w:r>
        <w:rPr>
          <w:rFonts w:ascii="Times New Roman" w:hAnsi="Times New Roman"/>
          <w:b/>
          <w:i w:val="0"/>
          <w:sz w:val="24"/>
          <w:u w:val="none"/>
        </w:rPr>
        <w:t>Alan Pinheiro da Silva</w:t>
      </w:r>
    </w:p>
    <w:p>
      <w:pPr>
        <w:spacing w:before="0" w:after="60" w:lineRule="auto" w:line="240"/>
        <w:jc w:val="center"/>
      </w:pPr>
      <w:r>
        <w:rPr>
          <w:rFonts w:ascii="Times New Roman" w:hAnsi="Times New Roman"/>
          <w:b w:val="0"/>
          <w:i/>
          <w:sz w:val="20"/>
          <w:u w:val="none"/>
        </w:rPr>
        <w:t>Especialização em Engenharia de Dados e Big Data — PECE / Escola Politécnica USP</w:t>
      </w:r>
    </w:p>
    <w:p>
      <w:pPr>
        <w:spacing w:before="0" w:after="360" w:lineRule="auto" w:line="240"/>
        <w:jc w:val="center"/>
      </w:pPr>
      <w:r>
        <w:rPr>
          <w:rFonts w:ascii="Times New Roman" w:hAnsi="Times New Roman"/>
          <w:b w:val="0"/>
          <w:i/>
          <w:sz w:val="20"/>
          <w:u w:val="none"/>
        </w:rPr>
        <w:t>eEDB-007 | Trabalho de Conclusão de Curso | 2026</w:t>
      </w:r>
    </w:p>
    <w:p>
      <w:pPr>
        <w:spacing w:before="0" w:after="0" w:lineRule="auto" w:line="240"/>
        <w:jc w:val="both"/>
      </w:pPr>
      <w:r>
        <w:rPr>
          <w:rFonts w:ascii="Times New Roman" w:hAnsi="Times New Roman"/>
          <w:b/>
          <w:sz w:val="20"/>
        </w:rPr>
        <w:t xml:space="preserve">Resumo: </w:t>
      </w:r>
      <w:r>
        <w:rPr>
          <w:rFonts w:ascii="Times New Roman" w:hAnsi="Times New Roman"/>
          <w:sz w:val="20"/>
        </w:rPr>
        <w:t>A detecção precoce de eventos indesejáveis em poços de petróleo offshore é crítica para a segurança operacional e a redução de perdas de produção. Este trabalho propõe e avalia um pipeline completo de aprendizado de máquina aplicado ao dataset público 3W da Petrobras, utilizando os poços WELL-00001, WELL-00002 e WELL-00006 com sete classes de eventos. A arquitetura Medallion (Bronze/Silver/Gold) estrutura o pré-processamento e a engenharia de features, gerando estatísticas rolling (janelas de 5, 10 e 30 amostras), features de lag (1 e 3 passos) e normalização Z-score. Três modelos ensemble foram treinados e comparados: Random Forest (RF), XGBoost (XGB) e LightGBM (LGB). O LightGBM obteve o melhor desempenho com F1-macro de 96,7% no conjunto de teste completo. A análise SHAP identificou a temperatura a jusante da válvula choke (T-JUS-CKP) como a feature mais discriminativa. O threshold tuning por classe elevou o F1-macro do RF de 81,0% para 89,4% e do XGB de 82,5% para 93,2%, demonstrando ganhos expressivos sem retreinamento. Os resultados confirmam a viabilidade de pipelines automatizados de detecção de anomalias em ambientes industriais offshore.</w:t>
      </w:r>
    </w:p>
    <w:p>
      <w:pPr>
        <w:spacing w:before="120" w:after="360" w:lineRule="auto" w:line="240"/>
        <w:jc w:val="both"/>
      </w:pPr>
      <w:r>
        <w:rPr>
          <w:rFonts w:ascii="Times New Roman" w:hAnsi="Times New Roman"/>
          <w:b/>
          <w:sz w:val="20"/>
        </w:rPr>
        <w:t xml:space="preserve">Palavras-chave: </w:t>
      </w:r>
      <w:r>
        <w:rPr>
          <w:rFonts w:ascii="Times New Roman" w:hAnsi="Times New Roman"/>
          <w:sz w:val="20"/>
        </w:rPr>
        <w:t>detecção de anomalias; aprendizado de máquina; poços de petróleo offshore; LightGBM; SHAP; arquitetura medallion; dataset 3W.</w:t>
      </w:r>
    </w:p>
    <w:p>
      <w:pPr>
        <w:spacing w:before="0" w:after="0" w:lineRule="auto" w:line="240"/>
        <w:jc w:val="both"/>
      </w:pPr>
      <w:r>
        <w:rPr>
          <w:rFonts w:ascii="Times New Roman" w:hAnsi="Times New Roman"/>
          <w:b/>
          <w:sz w:val="20"/>
        </w:rPr>
        <w:t xml:space="preserve">Abstract: </w:t>
      </w:r>
      <w:r>
        <w:rPr>
          <w:rFonts w:ascii="Times New Roman" w:hAnsi="Times New Roman"/>
          <w:sz w:val="20"/>
        </w:rPr>
        <w:t>Early detection of undesirable events in offshore oil wells is critical for operational safety and production loss reduction. This work proposes and evaluates a complete machine learning pipeline applied to Petrobras' public 3W dataset using wells WELL-00001, WELL-00002 and WELL-00006 with seven event classes. A Medallion architecture (Bronze/Silver/Gold) structures preprocessing and feature engineering, generating rolling statistics (windows of 5, 10 and 30 samples), lag features (1 and 3 steps) and Z-score normalization. Three ensemble models were trained and compared: Random Forest (RF), XGBoost (XGB) and LightGBM (LGB). LightGBM achieved the best performance with 96.7% F1-macro on the full test set. SHAP analysis identified downstream choke valve temperature (T-JUS-CKP) as the most discriminative feature. Class-specific threshold tuning raised RF's F1-macro from 81.0% to 89.4% and XGB's from 82.5% to 93.2%. Results confirm the feasibility of automated anomaly detection pipelines in offshore industrial environments.</w:t>
      </w:r>
    </w:p>
    <w:p>
      <w:pPr>
        <w:spacing w:before="120" w:after="360" w:lineRule="auto" w:line="240"/>
        <w:jc w:val="both"/>
      </w:pPr>
      <w:r>
        <w:rPr>
          <w:rFonts w:ascii="Times New Roman" w:hAnsi="Times New Roman"/>
          <w:b/>
          <w:sz w:val="20"/>
        </w:rPr>
        <w:t xml:space="preserve">Keywords: </w:t>
      </w:r>
      <w:r>
        <w:rPr>
          <w:rFonts w:ascii="Times New Roman" w:hAnsi="Times New Roman"/>
          <w:sz w:val="20"/>
        </w:rPr>
        <w:t>anomaly detection; machine learning; offshore oil wells; LightGBM; SHAP; medallion architecture; 3W dataset.</w:t>
      </w:r>
    </w:p>
    <w:p>
      <w:pPr>
        <w:spacing w:before="240" w:after="120" w:lineRule="auto" w:line="360"/>
        <w:jc w:val="left"/>
      </w:pPr>
      <w:r>
        <w:rPr>
          <w:rFonts w:ascii="Times New Roman" w:hAnsi="Times New Roman"/>
          <w:b/>
          <w:i w:val="0"/>
          <w:sz w:val="24"/>
          <w:u w:val="none"/>
        </w:rPr>
        <w:t>1 INTRODUÇÃO</w:t>
      </w:r>
    </w:p>
    <w:p>
      <w:pPr>
        <w:spacing w:before="0" w:after="120" w:lineRule="auto" w:line="360"/>
        <w:ind w:firstLine="709"/>
        <w:jc w:val="both"/>
      </w:pPr>
      <w:r>
        <w:rPr>
          <w:rFonts w:ascii="Times New Roman" w:hAnsi="Times New Roman"/>
          <w:b w:val="0"/>
          <w:i w:val="0"/>
          <w:sz w:val="24"/>
          <w:u w:val="none"/>
        </w:rPr>
        <w:t>A produção de petróleo em plataformas offshore envolve riscos operacionais elevados, amplificados pela complexidade dos sistemas de poços e pelas condições adversas do ambiente marinho. Eventos indesejáveis, como o fechamento indevido da válvula subsuperficial de segurança (DHSV), slugging severo ou falhas em sensores, podem provocar paradas não planejadas, perdas de produção e riscos à integridade dos equipamentos e à segurança das equipes [1].</w:t>
      </w:r>
    </w:p>
    <w:p>
      <w:pPr>
        <w:spacing w:before="0" w:after="120" w:lineRule="auto" w:line="360"/>
        <w:ind w:firstLine="709"/>
        <w:jc w:val="both"/>
      </w:pPr>
      <w:r>
        <w:rPr>
          <w:rFonts w:ascii="Times New Roman" w:hAnsi="Times New Roman"/>
          <w:b w:val="0"/>
          <w:i w:val="0"/>
          <w:sz w:val="24"/>
          <w:u w:val="none"/>
        </w:rPr>
        <w:t>Historicamente, a detecção desses eventos dependia de monitoramento manual por engenheiros de produção, processo sujeito a falhas humanas e limitado pela quantidade de variáveis monitoradas simultaneamente. A digitalização da indústria do petróleo e gás — impulsionada pelo conceito de Oilfield Digital Twin — criou condições para a aplicação de técnicas de aprendizado de máquina (AM) na detecção automatizada de anomalias [2].</w:t>
      </w:r>
    </w:p>
    <w:p>
      <w:pPr>
        <w:spacing w:before="0" w:after="120" w:lineRule="auto" w:line="360"/>
        <w:ind w:firstLine="709"/>
        <w:jc w:val="both"/>
      </w:pPr>
      <w:r>
        <w:rPr>
          <w:rFonts w:ascii="Times New Roman" w:hAnsi="Times New Roman"/>
          <w:b w:val="0"/>
          <w:i w:val="0"/>
          <w:sz w:val="24"/>
          <w:u w:val="none"/>
        </w:rPr>
        <w:t>Em 2019, a Petrobras publicou o dataset 3W [3], o primeiro benchmark público e representativo para detecção de eventos indesejáveis em poços de petróleo reais. O conjunto de dados contém séries temporais multivariadas de oito sensores de poços onshore e offshore, organizadas em dez classes de eventos. Apesar da relevância, a maioria dos trabalhos existentes aborda o problema com modelos isolados, sem pipeline industrial completo ou análise de interpretabilidade [4].</w:t>
      </w:r>
    </w:p>
    <w:p>
      <w:pPr>
        <w:spacing w:before="0" w:after="120" w:lineRule="auto" w:line="360"/>
        <w:ind w:firstLine="709"/>
        <w:jc w:val="both"/>
      </w:pPr>
      <w:r>
        <w:rPr>
          <w:rFonts w:ascii="Times New Roman" w:hAnsi="Times New Roman"/>
          <w:b w:val="0"/>
          <w:i w:val="0"/>
          <w:sz w:val="24"/>
          <w:u w:val="none"/>
        </w:rPr>
        <w:t>Este trabalho propõe um pipeline completo de AM para detecção e classificação de eventos indesejáveis utilizando o dataset 3W. As contribuições principais são: (i) arquitetura Medallion (Bronze/Silver/Gold) para processamento industrial de séries temporais; (ii) comparação sistemática de Random Forest, XGBoost e LightGBM com estratificação cuidadosa das classes; (iii) threshold tuning por classe para otimização do F1-macro; e (iv) análise de interpretabilidade SHAP para identificação dos sensores mais discriminativos.</w:t>
      </w:r>
    </w:p>
    <w:p>
      <w:pPr>
        <w:spacing w:before="0" w:after="120" w:lineRule="auto" w:line="360"/>
        <w:ind w:firstLine="709"/>
        <w:jc w:val="both"/>
      </w:pPr>
      <w:r>
        <w:rPr>
          <w:rFonts w:ascii="Times New Roman" w:hAnsi="Times New Roman"/>
          <w:b w:val="0"/>
          <w:i w:val="0"/>
          <w:sz w:val="24"/>
          <w:u w:val="none"/>
        </w:rPr>
        <w:t>O artigo está organizado da seguinte forma: a Seção 2 descreve os materiais e métodos; a Seção 3 apresenta os resultados; a Seção 4 discute as implicações; e a Seção 5 apresenta as conclusões e trabalhos futuros.</w:t>
      </w:r>
    </w:p>
    <w:p>
      <w:pPr>
        <w:spacing w:before="240" w:after="120" w:lineRule="auto" w:line="360"/>
        <w:jc w:val="left"/>
      </w:pPr>
      <w:r>
        <w:rPr>
          <w:rFonts w:ascii="Times New Roman" w:hAnsi="Times New Roman"/>
          <w:b/>
          <w:i w:val="0"/>
          <w:sz w:val="24"/>
          <w:u w:val="none"/>
        </w:rPr>
        <w:t>2 MATERIAIS E MÉTODOS</w:t>
      </w:r>
    </w:p>
    <w:p>
      <w:pPr>
        <w:spacing w:before="240" w:after="120" w:lineRule="auto" w:line="360"/>
        <w:jc w:val="left"/>
      </w:pPr>
      <w:r>
        <w:rPr>
          <w:rFonts w:ascii="Times New Roman" w:hAnsi="Times New Roman"/>
          <w:b/>
          <w:i w:val="0"/>
          <w:sz w:val="24"/>
          <w:u w:val="none"/>
        </w:rPr>
        <w:t>2.1 Dataset 3W</w:t>
      </w:r>
    </w:p>
    <w:p>
      <w:pPr>
        <w:spacing w:before="0" w:after="120" w:lineRule="auto" w:line="360"/>
        <w:ind w:firstLine="709"/>
        <w:jc w:val="both"/>
      </w:pPr>
      <w:r>
        <w:rPr>
          <w:rFonts w:ascii="Times New Roman" w:hAnsi="Times New Roman"/>
          <w:b w:val="0"/>
          <w:i w:val="0"/>
          <w:sz w:val="24"/>
          <w:u w:val="none"/>
        </w:rPr>
        <w:t>O dataset 3W v2.0.0 [3] é um conjunto de séries temporais de poços de petróleo offshore mantido pela Petrobras e disponibilizado publicamente no GitHub (github.com/petrobras/3W). Cada arquivo Parquet corresponde a uma sequência de leituras de oito sensores em um único poço, com frequência de amostragem de 1 Hz. As variáveis de entrada são: pressão no PDG (P-PDG), pressão no sensor de temperatura e pressão (P-TPT), temperatura no TPT (T-TPT), pressão a montante da válvula choke (P-MON-CKP), temperatura a jusante da válvula choke (T-JUS-CKP), pressão a jusante da válvula de gás lift (P-JUS-CKGL), temperatura a jusante da CKGL (T-JUS-CKGL) e vazão de gas lift (QGL).</w:t>
      </w:r>
    </w:p>
    <w:p>
      <w:pPr>
        <w:spacing w:before="0" w:after="120" w:lineRule="auto" w:line="360"/>
        <w:ind w:firstLine="709"/>
        <w:jc w:val="both"/>
      </w:pPr>
      <w:r>
        <w:rPr>
          <w:rFonts w:ascii="Times New Roman" w:hAnsi="Times New Roman"/>
          <w:b w:val="0"/>
          <w:i w:val="0"/>
          <w:sz w:val="24"/>
          <w:u w:val="none"/>
        </w:rPr>
        <w:t>Neste trabalho foram selecionados os poços WELL-00001, WELL-00002 e WELL-00006, escolhidos por apresentarem maior completude de sensores (menos de 30% de valores nulos nas variáveis críticas). O escopo abrange sete classes de eventos, detalhadas na Tabela 1.</w:t>
      </w:r>
    </w:p>
    <w:p>
      <w:pPr>
        <w:spacing w:before="120" w:after="60" w:lineRule="auto" w:line="240"/>
        <w:jc w:val="center"/>
      </w:pPr>
      <w:r>
        <w:rPr>
          <w:rFonts w:ascii="Times New Roman" w:hAnsi="Times New Roman"/>
          <w:b w:val="0"/>
          <w:i/>
          <w:sz w:val="20"/>
          <w:u w:val="none"/>
        </w:rPr>
        <w:t>Tabela 1 — Classes de eventos do dataset 3W utilizadas neste estudo.</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D9D9D9"/>
          </w:tcPr>
          <w:p>
            <w:pPr>
              <w:jc w:val="center"/>
            </w:pPr>
            <w:r>
              <w:rPr>
                <w:rFonts w:ascii="Times New Roman" w:hAnsi="Times New Roman"/>
                <w:b/>
                <w:sz w:val="20"/>
              </w:rPr>
              <w:t>Código</w:t>
            </w:r>
          </w:p>
        </w:tc>
        <w:tc>
          <w:tcPr>
            <w:tcW w:type="dxa" w:w="3118"/>
            <w:shd w:val="clear" w:color="auto" w:fill="D9D9D9"/>
          </w:tcPr>
          <w:p>
            <w:pPr>
              <w:jc w:val="center"/>
            </w:pPr>
            <w:r>
              <w:rPr>
                <w:rFonts w:ascii="Times New Roman" w:hAnsi="Times New Roman"/>
                <w:b/>
                <w:sz w:val="20"/>
              </w:rPr>
              <w:t>Denominação</w:t>
            </w:r>
          </w:p>
        </w:tc>
        <w:tc>
          <w:tcPr>
            <w:tcW w:type="dxa" w:w="4819"/>
            <w:shd w:val="clear" w:color="auto" w:fill="D9D9D9"/>
          </w:tcPr>
          <w:p>
            <w:pPr>
              <w:jc w:val="center"/>
            </w:pPr>
            <w:r>
              <w:rPr>
                <w:rFonts w:ascii="Times New Roman" w:hAnsi="Times New Roman"/>
                <w:b/>
                <w:sz w:val="20"/>
              </w:rPr>
              <w:t>Descrição Resumida</w:t>
            </w:r>
          </w:p>
        </w:tc>
      </w:tr>
      <w:tr>
        <w:tc>
          <w:tcPr>
            <w:tcW w:type="dxa" w:w="1134"/>
          </w:tcPr>
          <w:p>
            <w:pPr>
              <w:jc w:val="center"/>
            </w:pPr>
            <w:r>
              <w:rPr>
                <w:rFonts w:ascii="Times New Roman" w:hAnsi="Times New Roman"/>
                <w:sz w:val="20"/>
              </w:rPr>
              <w:t>0</w:t>
            </w:r>
          </w:p>
        </w:tc>
        <w:tc>
          <w:tcPr>
            <w:tcW w:type="dxa" w:w="3118"/>
          </w:tcPr>
          <w:p>
            <w:pPr>
              <w:jc w:val="center"/>
            </w:pPr>
            <w:r>
              <w:rPr>
                <w:rFonts w:ascii="Times New Roman" w:hAnsi="Times New Roman"/>
                <w:sz w:val="20"/>
              </w:rPr>
              <w:t>Normal</w:t>
            </w:r>
          </w:p>
        </w:tc>
        <w:tc>
          <w:tcPr>
            <w:tcW w:type="dxa" w:w="4819"/>
          </w:tcPr>
          <w:p>
            <w:pPr>
              <w:jc w:val="center"/>
            </w:pPr>
            <w:r>
              <w:rPr>
                <w:rFonts w:ascii="Times New Roman" w:hAnsi="Times New Roman"/>
                <w:sz w:val="20"/>
              </w:rPr>
              <w:t>Operação regular do poço</w:t>
            </w:r>
          </w:p>
        </w:tc>
      </w:tr>
      <w:tr>
        <w:tc>
          <w:tcPr>
            <w:tcW w:type="dxa" w:w="1134"/>
          </w:tcPr>
          <w:p>
            <w:pPr>
              <w:jc w:val="center"/>
            </w:pPr>
            <w:r>
              <w:rPr>
                <w:rFonts w:ascii="Times New Roman" w:hAnsi="Times New Roman"/>
                <w:sz w:val="20"/>
              </w:rPr>
              <w:t>1</w:t>
            </w:r>
          </w:p>
        </w:tc>
        <w:tc>
          <w:tcPr>
            <w:tcW w:type="dxa" w:w="3118"/>
          </w:tcPr>
          <w:p>
            <w:pPr>
              <w:jc w:val="center"/>
            </w:pPr>
            <w:r>
              <w:rPr>
                <w:rFonts w:ascii="Times New Roman" w:hAnsi="Times New Roman"/>
                <w:sz w:val="20"/>
              </w:rPr>
              <w:t>Abertura Abrupta do BSW</w:t>
            </w:r>
          </w:p>
        </w:tc>
        <w:tc>
          <w:tcPr>
            <w:tcW w:type="dxa" w:w="4819"/>
          </w:tcPr>
          <w:p>
            <w:pPr>
              <w:jc w:val="center"/>
            </w:pPr>
            <w:r>
              <w:rPr>
                <w:rFonts w:ascii="Times New Roman" w:hAnsi="Times New Roman"/>
                <w:sz w:val="20"/>
              </w:rPr>
              <w:t>Aumento brusco na fração de água produzida</w:t>
            </w:r>
          </w:p>
        </w:tc>
      </w:tr>
      <w:tr>
        <w:tc>
          <w:tcPr>
            <w:tcW w:type="dxa" w:w="1134"/>
          </w:tcPr>
          <w:p>
            <w:pPr>
              <w:jc w:val="center"/>
            </w:pPr>
            <w:r>
              <w:rPr>
                <w:rFonts w:ascii="Times New Roman" w:hAnsi="Times New Roman"/>
                <w:sz w:val="20"/>
              </w:rPr>
              <w:t>2</w:t>
            </w:r>
          </w:p>
        </w:tc>
        <w:tc>
          <w:tcPr>
            <w:tcW w:type="dxa" w:w="3118"/>
          </w:tcPr>
          <w:p>
            <w:pPr>
              <w:jc w:val="center"/>
            </w:pPr>
            <w:r>
              <w:rPr>
                <w:rFonts w:ascii="Times New Roman" w:hAnsi="Times New Roman"/>
                <w:sz w:val="20"/>
              </w:rPr>
              <w:t>Fechamento da DHSV</w:t>
            </w:r>
          </w:p>
        </w:tc>
        <w:tc>
          <w:tcPr>
            <w:tcW w:type="dxa" w:w="4819"/>
          </w:tcPr>
          <w:p>
            <w:pPr>
              <w:jc w:val="center"/>
            </w:pPr>
            <w:r>
              <w:rPr>
                <w:rFonts w:ascii="Times New Roman" w:hAnsi="Times New Roman"/>
                <w:sz w:val="20"/>
              </w:rPr>
              <w:t>Fechamento indevido da válvula subsup. de seg.</w:t>
            </w:r>
          </w:p>
        </w:tc>
      </w:tr>
      <w:tr>
        <w:tc>
          <w:tcPr>
            <w:tcW w:type="dxa" w:w="1134"/>
          </w:tcPr>
          <w:p>
            <w:pPr>
              <w:jc w:val="center"/>
            </w:pPr>
            <w:r>
              <w:rPr>
                <w:rFonts w:ascii="Times New Roman" w:hAnsi="Times New Roman"/>
                <w:sz w:val="20"/>
              </w:rPr>
              <w:t>3</w:t>
            </w:r>
          </w:p>
        </w:tc>
        <w:tc>
          <w:tcPr>
            <w:tcW w:type="dxa" w:w="3118"/>
          </w:tcPr>
          <w:p>
            <w:pPr>
              <w:jc w:val="center"/>
            </w:pPr>
            <w:r>
              <w:rPr>
                <w:rFonts w:ascii="Times New Roman" w:hAnsi="Times New Roman"/>
                <w:sz w:val="20"/>
              </w:rPr>
              <w:t>Slugging Severo</w:t>
            </w:r>
          </w:p>
        </w:tc>
        <w:tc>
          <w:tcPr>
            <w:tcW w:type="dxa" w:w="4819"/>
          </w:tcPr>
          <w:p>
            <w:pPr>
              <w:jc w:val="center"/>
            </w:pPr>
            <w:r>
              <w:rPr>
                <w:rFonts w:ascii="Times New Roman" w:hAnsi="Times New Roman"/>
                <w:sz w:val="20"/>
              </w:rPr>
              <w:t>Escoamento intermitente severo no riser</w:t>
            </w:r>
          </w:p>
        </w:tc>
      </w:tr>
      <w:tr>
        <w:tc>
          <w:tcPr>
            <w:tcW w:type="dxa" w:w="1134"/>
          </w:tcPr>
          <w:p>
            <w:pPr>
              <w:jc w:val="center"/>
            </w:pPr>
            <w:r>
              <w:rPr>
                <w:rFonts w:ascii="Times New Roman" w:hAnsi="Times New Roman"/>
                <w:sz w:val="20"/>
              </w:rPr>
              <w:t>4</w:t>
            </w:r>
          </w:p>
        </w:tc>
        <w:tc>
          <w:tcPr>
            <w:tcW w:type="dxa" w:w="3118"/>
          </w:tcPr>
          <w:p>
            <w:pPr>
              <w:jc w:val="center"/>
            </w:pPr>
            <w:r>
              <w:rPr>
                <w:rFonts w:ascii="Times New Roman" w:hAnsi="Times New Roman"/>
                <w:sz w:val="20"/>
              </w:rPr>
              <w:t>Instabilidade de Fluxo</w:t>
            </w:r>
          </w:p>
        </w:tc>
        <w:tc>
          <w:tcPr>
            <w:tcW w:type="dxa" w:w="4819"/>
          </w:tcPr>
          <w:p>
            <w:pPr>
              <w:jc w:val="center"/>
            </w:pPr>
            <w:r>
              <w:rPr>
                <w:rFonts w:ascii="Times New Roman" w:hAnsi="Times New Roman"/>
                <w:sz w:val="20"/>
              </w:rPr>
              <w:t>Oscilações de pressão e vazão sem causa externa</w:t>
            </w:r>
          </w:p>
        </w:tc>
      </w:tr>
      <w:tr>
        <w:tc>
          <w:tcPr>
            <w:tcW w:type="dxa" w:w="1134"/>
          </w:tcPr>
          <w:p>
            <w:pPr>
              <w:jc w:val="center"/>
            </w:pPr>
            <w:r>
              <w:rPr>
                <w:rFonts w:ascii="Times New Roman" w:hAnsi="Times New Roman"/>
                <w:sz w:val="20"/>
              </w:rPr>
              <w:t>6</w:t>
            </w:r>
          </w:p>
        </w:tc>
        <w:tc>
          <w:tcPr>
            <w:tcW w:type="dxa" w:w="3118"/>
          </w:tcPr>
          <w:p>
            <w:pPr>
              <w:jc w:val="center"/>
            </w:pPr>
            <w:r>
              <w:rPr>
                <w:rFonts w:ascii="Times New Roman" w:hAnsi="Times New Roman"/>
                <w:sz w:val="20"/>
              </w:rPr>
              <w:t>Falha em Sensor Externo</w:t>
            </w:r>
          </w:p>
        </w:tc>
        <w:tc>
          <w:tcPr>
            <w:tcW w:type="dxa" w:w="4819"/>
          </w:tcPr>
          <w:p>
            <w:pPr>
              <w:jc w:val="center"/>
            </w:pPr>
            <w:r>
              <w:rPr>
                <w:rFonts w:ascii="Times New Roman" w:hAnsi="Times New Roman"/>
                <w:sz w:val="20"/>
              </w:rPr>
              <w:t>Leitura incorreta por sensor danificado</w:t>
            </w:r>
          </w:p>
        </w:tc>
      </w:tr>
      <w:tr>
        <w:tc>
          <w:tcPr>
            <w:tcW w:type="dxa" w:w="1134"/>
          </w:tcPr>
          <w:p>
            <w:pPr>
              <w:jc w:val="center"/>
            </w:pPr>
            <w:r>
              <w:rPr>
                <w:rFonts w:ascii="Times New Roman" w:hAnsi="Times New Roman"/>
                <w:sz w:val="20"/>
              </w:rPr>
              <w:t>7</w:t>
            </w:r>
          </w:p>
        </w:tc>
        <w:tc>
          <w:tcPr>
            <w:tcW w:type="dxa" w:w="3118"/>
          </w:tcPr>
          <w:p>
            <w:pPr>
              <w:jc w:val="center"/>
            </w:pPr>
            <w:r>
              <w:rPr>
                <w:rFonts w:ascii="Times New Roman" w:hAnsi="Times New Roman"/>
                <w:sz w:val="20"/>
              </w:rPr>
              <w:t>Perda Rápida de Produtividade</w:t>
            </w:r>
          </w:p>
        </w:tc>
        <w:tc>
          <w:tcPr>
            <w:tcW w:type="dxa" w:w="4819"/>
          </w:tcPr>
          <w:p>
            <w:pPr>
              <w:jc w:val="center"/>
            </w:pPr>
            <w:r>
              <w:rPr>
                <w:rFonts w:ascii="Times New Roman" w:hAnsi="Times New Roman"/>
                <w:sz w:val="20"/>
              </w:rPr>
              <w:t>Queda abrupta na produção do reservatório</w:t>
            </w:r>
          </w:p>
        </w:tc>
      </w:tr>
    </w:tbl>
    <w:p>
      <w:pPr>
        <w:spacing w:before="60" w:after="240" w:lineRule="auto" w:line="240"/>
        <w:jc w:val="center"/>
      </w:pPr>
      <w:r>
        <w:rPr>
          <w:rFonts w:ascii="Times New Roman" w:hAnsi="Times New Roman"/>
          <w:b w:val="0"/>
          <w:i/>
          <w:sz w:val="18"/>
          <w:u w:val="none"/>
        </w:rPr>
        <w:t>Fonte: Petrobras 3W dataset [3]. Adaptado pelo autor.</w:t>
      </w:r>
    </w:p>
    <w:p>
      <w:pPr>
        <w:spacing w:before="240" w:after="120" w:lineRule="auto" w:line="360"/>
        <w:jc w:val="left"/>
      </w:pPr>
      <w:r>
        <w:rPr>
          <w:rFonts w:ascii="Times New Roman" w:hAnsi="Times New Roman"/>
          <w:b/>
          <w:i w:val="0"/>
          <w:sz w:val="24"/>
          <w:u w:val="none"/>
        </w:rPr>
        <w:t>2.2 Pipeline de Dados — Arquitetura Medallion</w:t>
      </w:r>
    </w:p>
    <w:p>
      <w:pPr>
        <w:spacing w:before="0" w:after="120" w:lineRule="auto" w:line="360"/>
        <w:ind w:firstLine="709"/>
        <w:jc w:val="both"/>
      </w:pPr>
      <w:r>
        <w:rPr>
          <w:rFonts w:ascii="Times New Roman" w:hAnsi="Times New Roman"/>
          <w:b w:val="0"/>
          <w:i w:val="0"/>
          <w:sz w:val="24"/>
          <w:u w:val="none"/>
        </w:rPr>
        <w:t>O pré-processamento segue a arquitetura Medallion em três camadas, inspirada nas boas práticas de engenharia de dados para lakehouse [5]:</w:t>
      </w:r>
    </w:p>
    <w:p>
      <w:pPr>
        <w:spacing w:before="0" w:after="120" w:lineRule="auto" w:line="360"/>
        <w:ind w:left="709"/>
        <w:jc w:val="both"/>
      </w:pPr>
      <w:r>
        <w:rPr>
          <w:rFonts w:ascii="Times New Roman" w:hAnsi="Times New Roman"/>
          <w:b w:val="0"/>
          <w:i w:val="0"/>
          <w:sz w:val="24"/>
          <w:u w:val="none"/>
        </w:rPr>
        <w:t>Camada Bronze: os arquivos Parquet brutos são ingeridos com tipagem explícita e adição de metadados de origem (ID do poço, classe, timestamp de ingestão). Nenhuma transformação de conteúdo é aplicada, preservando a rastreabilidade dos dados originais.</w:t>
      </w:r>
    </w:p>
    <w:p>
      <w:pPr>
        <w:spacing w:before="0" w:after="120" w:lineRule="auto" w:line="360"/>
        <w:ind w:left="709"/>
        <w:jc w:val="both"/>
      </w:pPr>
      <w:r>
        <w:rPr>
          <w:rFonts w:ascii="Times New Roman" w:hAnsi="Times New Roman"/>
          <w:b w:val="0"/>
          <w:i w:val="0"/>
          <w:sz w:val="24"/>
          <w:u w:val="none"/>
        </w:rPr>
        <w:t>Camada Silver: aplica-se remoção de registros com nulos em sensores críticos (P-PDG, T-JUS-CKP), eliminação de duplicatas temporais e validação de ranges físicos (ex.: pressão negativa é descartada). O resultado é um dataset limpo e padronizado.</w:t>
      </w:r>
    </w:p>
    <w:p>
      <w:pPr>
        <w:spacing w:before="0" w:after="120" w:lineRule="auto" w:line="360"/>
        <w:ind w:left="709"/>
        <w:jc w:val="both"/>
      </w:pPr>
      <w:r>
        <w:rPr>
          <w:rFonts w:ascii="Times New Roman" w:hAnsi="Times New Roman"/>
          <w:b w:val="0"/>
          <w:i w:val="0"/>
          <w:sz w:val="24"/>
          <w:u w:val="none"/>
        </w:rPr>
        <w:t>Camada Gold: realiza a engenharia de features e a preparação final para o treinamento. Para cada sensor s e cada janela w ∈ {5, 10, 30}, são calculadas a média, desvio padrão, mínimo e máximo móveis (rolling statistics). Adicionalmente, são criadas features de defasagem temporal (lag) para os passos l ∈ {1, 3}. Todas as features são normalizadas com Z-score global (média e desvio calculados exclusivamente no conjunto de treino para evitar data leakage). A divisão é estratificada na proporção 70/15/15 (treino/validação/teste).</w:t>
      </w:r>
    </w:p>
    <w:p>
      <w:pPr>
        <w:spacing w:before="0" w:after="120" w:lineRule="auto" w:line="360"/>
        <w:ind w:firstLine="709"/>
        <w:jc w:val="both"/>
      </w:pPr>
      <w:r>
        <w:rPr>
          <w:rFonts w:ascii="Times New Roman" w:hAnsi="Times New Roman"/>
          <w:b w:val="0"/>
          <w:i w:val="0"/>
          <w:sz w:val="24"/>
          <w:u w:val="none"/>
        </w:rPr>
        <w:t>O processo de amostragem estratificada em chunks de 30.000 registros foi adotado para contornar viés temporal severo: amostrar sequencialmente as primeiras N linhas de séries temporais de longa duração resulta em conjuntos dominados pela classe Normal, inviabilizando o treinamento. A abordagem por chunks garante representatividade de todas as classes raras.</w:t>
      </w:r>
    </w:p>
    <w:p>
      <w:pPr>
        <w:spacing w:before="240" w:after="120" w:lineRule="auto" w:line="360"/>
        <w:jc w:val="left"/>
      </w:pPr>
      <w:r>
        <w:rPr>
          <w:rFonts w:ascii="Times New Roman" w:hAnsi="Times New Roman"/>
          <w:b/>
          <w:i w:val="0"/>
          <w:sz w:val="24"/>
          <w:u w:val="none"/>
        </w:rPr>
        <w:t>2.3 Modelos de Aprendizado de Máquina</w:t>
      </w:r>
    </w:p>
    <w:p>
      <w:pPr>
        <w:spacing w:before="0" w:after="120" w:lineRule="auto" w:line="360"/>
        <w:ind w:firstLine="709"/>
        <w:jc w:val="both"/>
      </w:pPr>
      <w:r>
        <w:rPr>
          <w:rFonts w:ascii="Times New Roman" w:hAnsi="Times New Roman"/>
          <w:b w:val="0"/>
          <w:i w:val="0"/>
          <w:sz w:val="24"/>
          <w:u w:val="none"/>
        </w:rPr>
        <w:t>Três classificadores ensemble foram treinados e avaliados:</w:t>
      </w:r>
    </w:p>
    <w:p>
      <w:pPr>
        <w:spacing w:before="0" w:after="120" w:lineRule="auto" w:line="360"/>
        <w:ind w:left="709"/>
        <w:jc w:val="both"/>
      </w:pPr>
      <w:r>
        <w:rPr>
          <w:rFonts w:ascii="Times New Roman" w:hAnsi="Times New Roman"/>
          <w:b w:val="0"/>
          <w:i w:val="0"/>
          <w:sz w:val="24"/>
          <w:u w:val="none"/>
        </w:rPr>
        <w:t>Random Forest (RF): floresta de 100 árvores com profundidade máxima de 20, utilizando class_weight='balanced' para compensar o desbalanceamento de classes. O critério de impureza é a entropia de Gini.</w:t>
      </w:r>
    </w:p>
    <w:p>
      <w:pPr>
        <w:spacing w:before="0" w:after="120" w:lineRule="auto" w:line="360"/>
        <w:ind w:left="709"/>
        <w:jc w:val="both"/>
      </w:pPr>
      <w:r>
        <w:rPr>
          <w:rFonts w:ascii="Times New Roman" w:hAnsi="Times New Roman"/>
          <w:b w:val="0"/>
          <w:i w:val="0"/>
          <w:sz w:val="24"/>
          <w:u w:val="none"/>
        </w:rPr>
        <w:t>XGBoost (XGB): gradient boosting com até 500 estimadores, taxa de aprendizado de 0,05 e profundidade máxima de 6. Os pesos por classe são definidos pelo inverso da frequência de cada classe no conjunto de treino. Early stopping é aplicado com paciência de 50 rodadas no conjunto de validação.</w:t>
      </w:r>
    </w:p>
    <w:p>
      <w:pPr>
        <w:spacing w:before="0" w:after="120" w:lineRule="auto" w:line="360"/>
        <w:ind w:left="709"/>
        <w:jc w:val="both"/>
      </w:pPr>
      <w:r>
        <w:rPr>
          <w:rFonts w:ascii="Times New Roman" w:hAnsi="Times New Roman"/>
          <w:b w:val="0"/>
          <w:i w:val="0"/>
          <w:sz w:val="24"/>
          <w:u w:val="none"/>
        </w:rPr>
        <w:t>LightGBM (LGB): implementação com crescimento leaf-wise de árvores, até 1.000 estimadores, taxa de aprendizado de 0,05 e num_leaves=31. A diretiva is_unbalance=True ajusta automaticamente os pesos das classes. Early stopping com paciência de 50 rodadas.</w:t>
      </w:r>
    </w:p>
    <w:p>
      <w:pPr>
        <w:spacing w:before="240" w:after="120" w:lineRule="auto" w:line="360"/>
        <w:jc w:val="left"/>
      </w:pPr>
      <w:r>
        <w:rPr>
          <w:rFonts w:ascii="Times New Roman" w:hAnsi="Times New Roman"/>
          <w:b/>
          <w:i w:val="0"/>
          <w:sz w:val="24"/>
          <w:u w:val="none"/>
        </w:rPr>
        <w:t>2.4 Threshold Tuning por Classe</w:t>
      </w:r>
    </w:p>
    <w:p>
      <w:pPr>
        <w:spacing w:before="0" w:after="120" w:lineRule="auto" w:line="360"/>
        <w:ind w:firstLine="709"/>
        <w:jc w:val="both"/>
      </w:pPr>
      <w:r>
        <w:rPr>
          <w:rFonts w:ascii="Times New Roman" w:hAnsi="Times New Roman"/>
          <w:b w:val="0"/>
          <w:i w:val="0"/>
          <w:sz w:val="24"/>
          <w:u w:val="none"/>
        </w:rPr>
        <w:t>Para cada modelo, após o treinamento, foi conduzido um grid search de thresholds individuais por classe. A regra de decisão é reformulada como: a classe predita é argmax(P(c) / threshold(c)), onde P(c) é a probabilidade estimada para a classe c. Os thresholds são otimizados no conjunto de validação para maximizar o F1-macro. O grid search avalia 50 valores uniformemente espaçados no intervalo [0,01; 0,99] para cada classe independentemente.</w:t>
      </w:r>
    </w:p>
    <w:p>
      <w:pPr>
        <w:spacing w:before="240" w:after="120" w:lineRule="auto" w:line="360"/>
        <w:jc w:val="left"/>
      </w:pPr>
      <w:r>
        <w:rPr>
          <w:rFonts w:ascii="Times New Roman" w:hAnsi="Times New Roman"/>
          <w:b/>
          <w:i w:val="0"/>
          <w:sz w:val="24"/>
          <w:u w:val="none"/>
        </w:rPr>
        <w:t>2.5 Análise de Interpretabilidade SHAP</w:t>
      </w:r>
    </w:p>
    <w:p>
      <w:pPr>
        <w:spacing w:before="0" w:after="120" w:lineRule="auto" w:line="360"/>
        <w:ind w:firstLine="709"/>
        <w:jc w:val="both"/>
      </w:pPr>
      <w:r>
        <w:rPr>
          <w:rFonts w:ascii="Times New Roman" w:hAnsi="Times New Roman"/>
          <w:b w:val="0"/>
          <w:i w:val="0"/>
          <w:sz w:val="24"/>
          <w:u w:val="none"/>
        </w:rPr>
        <w:t>A interpretabilidade do modelo LightGBM foi analisada com SHAP (SHapley Additive exPlanations) [6], utilizando o TreeExplainer. Para viabilizar o cálculo em conjuntos grandes, foi utilizada uma amostra estratificada de até 2.000 instâncias do conjunto de teste, garantindo representação de todas as classes, incluindo as raras (DHSV, Slugging Severo). Os outputs gerados incluem: gráfico beeswarm global (top-20 features), bar chart de importância média |SHAP| e mapas de calor sensor × classe.</w:t>
      </w:r>
    </w:p>
    <w:p>
      <w:pPr>
        <w:spacing w:before="240" w:after="120" w:lineRule="auto" w:line="360"/>
        <w:jc w:val="left"/>
      </w:pPr>
      <w:r>
        <w:rPr>
          <w:rFonts w:ascii="Times New Roman" w:hAnsi="Times New Roman"/>
          <w:b/>
          <w:i w:val="0"/>
          <w:sz w:val="24"/>
          <w:u w:val="none"/>
        </w:rPr>
        <w:t>2.6 Infraestrutura</w:t>
      </w:r>
    </w:p>
    <w:p>
      <w:pPr>
        <w:spacing w:before="0" w:after="120" w:lineRule="auto" w:line="360"/>
        <w:ind w:firstLine="709"/>
        <w:jc w:val="both"/>
      </w:pPr>
      <w:r>
        <w:rPr>
          <w:rFonts w:ascii="Times New Roman" w:hAnsi="Times New Roman"/>
          <w:b w:val="0"/>
          <w:i w:val="0"/>
          <w:sz w:val="24"/>
          <w:u w:val="none"/>
        </w:rPr>
        <w:t>O desenvolvimento local utilizou Docker Compose com PySpark/AWS Glue, Apache Airflow para orquestração, MinIO como S3 local e PostgreSQL para metadados. Os experimentos finais foram validados em instância AWS EC2 t3.large (2 vCPUs, 8 GB RAM) com 4 GB de swap adicional, replicando o ambiente de nuvem com buckets S3 reais nas camadas raw/bronze/silver/gold/models/logs.</w:t>
      </w:r>
    </w:p>
    <w:p>
      <w:pPr>
        <w:spacing w:before="240" w:after="120" w:lineRule="auto" w:line="360"/>
        <w:jc w:val="left"/>
      </w:pPr>
      <w:r>
        <w:rPr>
          <w:rFonts w:ascii="Times New Roman" w:hAnsi="Times New Roman"/>
          <w:b/>
          <w:i w:val="0"/>
          <w:sz w:val="24"/>
          <w:u w:val="none"/>
        </w:rPr>
        <w:t>3 RESULTADOS</w:t>
      </w:r>
    </w:p>
    <w:p>
      <w:pPr>
        <w:spacing w:before="240" w:after="120" w:lineRule="auto" w:line="360"/>
        <w:jc w:val="left"/>
      </w:pPr>
      <w:r>
        <w:rPr>
          <w:rFonts w:ascii="Times New Roman" w:hAnsi="Times New Roman"/>
          <w:b/>
          <w:i w:val="0"/>
          <w:sz w:val="24"/>
          <w:u w:val="none"/>
        </w:rPr>
        <w:t>3.1 Desempenho dos Modelos</w:t>
      </w:r>
    </w:p>
    <w:p>
      <w:pPr>
        <w:spacing w:before="0" w:after="120" w:lineRule="auto" w:line="360"/>
        <w:ind w:firstLine="709"/>
        <w:jc w:val="both"/>
      </w:pPr>
      <w:r>
        <w:rPr>
          <w:rFonts w:ascii="Times New Roman" w:hAnsi="Times New Roman"/>
          <w:b w:val="0"/>
          <w:i w:val="0"/>
          <w:sz w:val="24"/>
          <w:u w:val="none"/>
        </w:rPr>
        <w:t>A Tabela 2 apresenta as métricas de F1-macro, acurácia geral e F1 ponderado para os três modelos nos conjuntos de validação e teste, antes e após o threshold tuning. O LightGBM obteve desempenho superior em todas as métricas.</w:t>
      </w:r>
    </w:p>
    <w:p>
      <w:pPr>
        <w:spacing w:before="120" w:after="60" w:lineRule="auto" w:line="240"/>
        <w:jc w:val="center"/>
      </w:pPr>
      <w:r>
        <w:rPr>
          <w:rFonts w:ascii="Times New Roman" w:hAnsi="Times New Roman"/>
          <w:b w:val="0"/>
          <w:i/>
          <w:sz w:val="20"/>
          <w:u w:val="none"/>
        </w:rPr>
        <w:t>Tabela 2 — Comparação de desempenho dos modelos — escopo poços 001/002/006 (7 classes).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814"/>
            <w:shd w:val="clear" w:color="auto" w:fill="D9D9D9"/>
          </w:tcPr>
          <w:p>
            <w:pPr>
              <w:jc w:val="center"/>
            </w:pPr>
            <w:r>
              <w:rPr>
                <w:rFonts w:ascii="Times New Roman" w:hAnsi="Times New Roman"/>
                <w:b/>
                <w:sz w:val="20"/>
              </w:rPr>
              <w:t>Modelo</w:t>
            </w:r>
          </w:p>
        </w:tc>
        <w:tc>
          <w:tcPr>
            <w:tcW w:type="dxa" w:w="1417"/>
            <w:shd w:val="clear" w:color="auto" w:fill="D9D9D9"/>
          </w:tcPr>
          <w:p>
            <w:pPr>
              <w:jc w:val="center"/>
            </w:pPr>
            <w:r>
              <w:rPr>
                <w:rFonts w:ascii="Times New Roman" w:hAnsi="Times New Roman"/>
                <w:b/>
                <w:sz w:val="20"/>
              </w:rPr>
              <w:t>F1-macro Val</w:t>
            </w:r>
          </w:p>
        </w:tc>
        <w:tc>
          <w:tcPr>
            <w:tcW w:type="dxa" w:w="1587"/>
            <w:shd w:val="clear" w:color="auto" w:fill="D9D9D9"/>
          </w:tcPr>
          <w:p>
            <w:pPr>
              <w:jc w:val="center"/>
            </w:pPr>
            <w:r>
              <w:rPr>
                <w:rFonts w:ascii="Times New Roman" w:hAnsi="Times New Roman"/>
                <w:b/>
                <w:sz w:val="20"/>
              </w:rPr>
              <w:t>F1-macro Teste</w:t>
            </w:r>
          </w:p>
        </w:tc>
        <w:tc>
          <w:tcPr>
            <w:tcW w:type="dxa" w:w="1587"/>
            <w:shd w:val="clear" w:color="auto" w:fill="D9D9D9"/>
          </w:tcPr>
          <w:p>
            <w:pPr>
              <w:jc w:val="center"/>
            </w:pPr>
            <w:r>
              <w:rPr>
                <w:rFonts w:ascii="Times New Roman" w:hAnsi="Times New Roman"/>
                <w:b/>
                <w:sz w:val="20"/>
              </w:rPr>
              <w:t>Acurácia Teste</w:t>
            </w:r>
          </w:p>
        </w:tc>
        <w:tc>
          <w:tcPr>
            <w:tcW w:type="dxa" w:w="1587"/>
            <w:shd w:val="clear" w:color="auto" w:fill="D9D9D9"/>
          </w:tcPr>
          <w:p>
            <w:pPr>
              <w:jc w:val="center"/>
            </w:pPr>
            <w:r>
              <w:rPr>
                <w:rFonts w:ascii="Times New Roman" w:hAnsi="Times New Roman"/>
                <w:b/>
                <w:sz w:val="20"/>
              </w:rPr>
              <w:t>F1-pond. Teste</w:t>
            </w:r>
          </w:p>
        </w:tc>
        <w:tc>
          <w:tcPr>
            <w:tcW w:type="dxa" w:w="2211"/>
            <w:shd w:val="clear" w:color="auto" w:fill="D9D9D9"/>
          </w:tcPr>
          <w:p>
            <w:pPr>
              <w:jc w:val="center"/>
            </w:pPr>
            <w:r>
              <w:rPr>
                <w:rFonts w:ascii="Times New Roman" w:hAnsi="Times New Roman"/>
                <w:b/>
                <w:sz w:val="20"/>
              </w:rPr>
              <w:t>Threshold Tuning</w:t>
            </w:r>
          </w:p>
        </w:tc>
      </w:tr>
      <w:tr>
        <w:tc>
          <w:tcPr>
            <w:tcW w:type="dxa" w:w="1814"/>
          </w:tcPr>
          <w:p>
            <w:pPr>
              <w:jc w:val="center"/>
            </w:pPr>
            <w:r>
              <w:rPr>
                <w:rFonts w:ascii="Times New Roman" w:hAnsi="Times New Roman"/>
                <w:sz w:val="20"/>
              </w:rPr>
              <w:t>Random Forest</w:t>
            </w:r>
          </w:p>
        </w:tc>
        <w:tc>
          <w:tcPr>
            <w:tcW w:type="dxa" w:w="1417"/>
          </w:tcPr>
          <w:p>
            <w:pPr>
              <w:jc w:val="center"/>
            </w:pPr>
            <w:r>
              <w:rPr>
                <w:rFonts w:ascii="Times New Roman" w:hAnsi="Times New Roman"/>
                <w:sz w:val="20"/>
              </w:rPr>
              <w:t>80,0%</w:t>
            </w:r>
          </w:p>
        </w:tc>
        <w:tc>
          <w:tcPr>
            <w:tcW w:type="dxa" w:w="1587"/>
          </w:tcPr>
          <w:p>
            <w:pPr>
              <w:jc w:val="center"/>
            </w:pPr>
            <w:r>
              <w:rPr>
                <w:rFonts w:ascii="Times New Roman" w:hAnsi="Times New Roman"/>
                <w:sz w:val="20"/>
              </w:rPr>
              <w:t>81,0%</w:t>
            </w:r>
          </w:p>
        </w:tc>
        <w:tc>
          <w:tcPr>
            <w:tcW w:type="dxa" w:w="1587"/>
          </w:tcPr>
          <w:p>
            <w:pPr>
              <w:jc w:val="center"/>
            </w:pPr>
            <w:r>
              <w:rPr>
                <w:rFonts w:ascii="Times New Roman" w:hAnsi="Times New Roman"/>
                <w:sz w:val="20"/>
              </w:rPr>
              <w:t>97,9%</w:t>
            </w:r>
          </w:p>
        </w:tc>
        <w:tc>
          <w:tcPr>
            <w:tcW w:type="dxa" w:w="1587"/>
          </w:tcPr>
          <w:p>
            <w:pPr>
              <w:jc w:val="center"/>
            </w:pPr>
            <w:r>
              <w:rPr>
                <w:rFonts w:ascii="Times New Roman" w:hAnsi="Times New Roman"/>
                <w:sz w:val="20"/>
              </w:rPr>
              <w:t>98,2%</w:t>
            </w:r>
          </w:p>
        </w:tc>
        <w:tc>
          <w:tcPr>
            <w:tcW w:type="dxa" w:w="2211"/>
          </w:tcPr>
          <w:p>
            <w:pPr>
              <w:jc w:val="center"/>
            </w:pPr>
            <w:r>
              <w:rPr>
                <w:rFonts w:ascii="Times New Roman" w:hAnsi="Times New Roman"/>
                <w:sz w:val="20"/>
              </w:rPr>
              <w:t>89,4% (+8,4 pp)</w:t>
            </w:r>
          </w:p>
        </w:tc>
      </w:tr>
      <w:tr>
        <w:tc>
          <w:tcPr>
            <w:tcW w:type="dxa" w:w="1814"/>
          </w:tcPr>
          <w:p>
            <w:pPr>
              <w:jc w:val="center"/>
            </w:pPr>
            <w:r>
              <w:rPr>
                <w:rFonts w:ascii="Times New Roman" w:hAnsi="Times New Roman"/>
                <w:sz w:val="20"/>
              </w:rPr>
              <w:t>XGBoost</w:t>
            </w:r>
          </w:p>
        </w:tc>
        <w:tc>
          <w:tcPr>
            <w:tcW w:type="dxa" w:w="1417"/>
          </w:tcPr>
          <w:p>
            <w:pPr>
              <w:jc w:val="center"/>
            </w:pPr>
            <w:r>
              <w:rPr>
                <w:rFonts w:ascii="Times New Roman" w:hAnsi="Times New Roman"/>
                <w:sz w:val="20"/>
              </w:rPr>
              <w:t>82,7%</w:t>
            </w:r>
          </w:p>
        </w:tc>
        <w:tc>
          <w:tcPr>
            <w:tcW w:type="dxa" w:w="1587"/>
          </w:tcPr>
          <w:p>
            <w:pPr>
              <w:jc w:val="center"/>
            </w:pPr>
            <w:r>
              <w:rPr>
                <w:rFonts w:ascii="Times New Roman" w:hAnsi="Times New Roman"/>
                <w:sz w:val="20"/>
              </w:rPr>
              <w:t>82,5%</w:t>
            </w:r>
          </w:p>
        </w:tc>
        <w:tc>
          <w:tcPr>
            <w:tcW w:type="dxa" w:w="1587"/>
          </w:tcPr>
          <w:p>
            <w:pPr>
              <w:jc w:val="center"/>
            </w:pPr>
            <w:r>
              <w:rPr>
                <w:rFonts w:ascii="Times New Roman" w:hAnsi="Times New Roman"/>
                <w:sz w:val="20"/>
              </w:rPr>
              <w:t>98,3%</w:t>
            </w:r>
          </w:p>
        </w:tc>
        <w:tc>
          <w:tcPr>
            <w:tcW w:type="dxa" w:w="1587"/>
          </w:tcPr>
          <w:p>
            <w:pPr>
              <w:jc w:val="center"/>
            </w:pPr>
            <w:r>
              <w:rPr>
                <w:rFonts w:ascii="Times New Roman" w:hAnsi="Times New Roman"/>
                <w:sz w:val="20"/>
              </w:rPr>
              <w:t>98,5%</w:t>
            </w:r>
          </w:p>
        </w:tc>
        <w:tc>
          <w:tcPr>
            <w:tcW w:type="dxa" w:w="2211"/>
          </w:tcPr>
          <w:p>
            <w:pPr>
              <w:jc w:val="center"/>
            </w:pPr>
            <w:r>
              <w:rPr>
                <w:rFonts w:ascii="Times New Roman" w:hAnsi="Times New Roman"/>
                <w:sz w:val="20"/>
              </w:rPr>
              <w:t>93,2% (+9,7 pp)</w:t>
            </w:r>
          </w:p>
        </w:tc>
      </w:tr>
      <w:tr>
        <w:tc>
          <w:tcPr>
            <w:tcW w:type="dxa" w:w="1814"/>
          </w:tcPr>
          <w:p>
            <w:pPr>
              <w:jc w:val="center"/>
            </w:pPr>
            <w:r>
              <w:rPr>
                <w:rFonts w:ascii="Times New Roman" w:hAnsi="Times New Roman"/>
                <w:sz w:val="20"/>
              </w:rPr>
              <w:t>LightGBM</w:t>
            </w:r>
          </w:p>
        </w:tc>
        <w:tc>
          <w:tcPr>
            <w:tcW w:type="dxa" w:w="1417"/>
          </w:tcPr>
          <w:p>
            <w:pPr>
              <w:jc w:val="center"/>
            </w:pPr>
            <w:r>
              <w:rPr>
                <w:rFonts w:ascii="Times New Roman" w:hAnsi="Times New Roman"/>
                <w:sz w:val="20"/>
              </w:rPr>
              <w:t>92,7%</w:t>
            </w:r>
          </w:p>
        </w:tc>
        <w:tc>
          <w:tcPr>
            <w:tcW w:type="dxa" w:w="1587"/>
          </w:tcPr>
          <w:p>
            <w:pPr>
              <w:jc w:val="center"/>
            </w:pPr>
            <w:r>
              <w:rPr>
                <w:rFonts w:ascii="Times New Roman" w:hAnsi="Times New Roman"/>
                <w:sz w:val="20"/>
              </w:rPr>
              <w:t>96,7%*</w:t>
            </w:r>
          </w:p>
        </w:tc>
        <w:tc>
          <w:tcPr>
            <w:tcW w:type="dxa" w:w="1587"/>
          </w:tcPr>
          <w:p>
            <w:pPr>
              <w:jc w:val="center"/>
            </w:pPr>
            <w:r>
              <w:rPr>
                <w:rFonts w:ascii="Times New Roman" w:hAnsi="Times New Roman"/>
                <w:sz w:val="20"/>
              </w:rPr>
              <w:t>99,6%</w:t>
            </w:r>
          </w:p>
        </w:tc>
        <w:tc>
          <w:tcPr>
            <w:tcW w:type="dxa" w:w="1587"/>
          </w:tcPr>
          <w:p>
            <w:pPr>
              <w:jc w:val="center"/>
            </w:pPr>
            <w:r>
              <w:rPr>
                <w:rFonts w:ascii="Times New Roman" w:hAnsi="Times New Roman"/>
                <w:sz w:val="20"/>
              </w:rPr>
              <w:t>99,6%</w:t>
            </w:r>
          </w:p>
        </w:tc>
        <w:tc>
          <w:tcPr>
            <w:tcW w:type="dxa" w:w="2211"/>
          </w:tcPr>
          <w:p>
            <w:pPr>
              <w:jc w:val="center"/>
            </w:pPr>
            <w:r>
              <w:rPr>
                <w:rFonts w:ascii="Times New Roman" w:hAnsi="Times New Roman"/>
                <w:sz w:val="20"/>
              </w:rPr>
              <w:t>96,4% (-0,3 pp)</w:t>
            </w:r>
          </w:p>
        </w:tc>
      </w:tr>
    </w:tbl>
    <w:p>
      <w:pPr>
        <w:spacing w:before="60" w:after="240" w:lineRule="auto" w:line="240"/>
        <w:jc w:val="center"/>
      </w:pPr>
      <w:r>
        <w:rPr>
          <w:rFonts w:ascii="Times New Roman" w:hAnsi="Times New Roman"/>
          <w:b w:val="0"/>
          <w:i/>
          <w:sz w:val="18"/>
          <w:u w:val="none"/>
        </w:rPr>
        <w:t>* F1-macro do LGB avaliado no conjunto de teste completo (1,38M amostras) via tune_thresholds.py; o valor do script de treino (amostra estratificada) foi 91,9%. Todos os modelos treinados no mesmo volume de dados (500k amostras, chunked sampling estratificado). Fonte: experimentos do autor.</w:t>
      </w:r>
    </w:p>
    <w:p>
      <w:pPr>
        <w:spacing w:before="0" w:after="120" w:lineRule="auto" w:line="360"/>
        <w:ind w:firstLine="709"/>
        <w:jc w:val="both"/>
      </w:pPr>
      <w:r>
        <w:rPr>
          <w:rFonts w:ascii="Times New Roman" w:hAnsi="Times New Roman"/>
          <w:b w:val="0"/>
          <w:i w:val="0"/>
          <w:sz w:val="24"/>
          <w:u w:val="none"/>
        </w:rPr>
        <w:t>O threshold tuning gerou ganhos expressivos nos três modelos. O RF passou de 81,0% para 89,4% (+8,4 pp); o XGB, de 82,5% para 93,2% (+9,7 pp); o LGB não se beneficiou do tuning (96,7% → 96,4%, -0,3 pp), pois seus thresholds ótimos já convergiam para valores próximos ao padrão (0,01–0,03), indicando que o modelo base estava bem calibrado. Para RF e XGB, os thresholds das classes raras DHSV Closure e Slugging Severo foram reduzidos significativamente (0,21 e 0,31, respectivamente), aumentando a sensibilidade a eventos críticos de segurança.</w:t>
      </w:r>
    </w:p>
    <w:p>
      <w:pPr>
        <w:spacing w:before="0" w:after="120" w:lineRule="auto" w:line="360"/>
        <w:ind w:firstLine="709"/>
        <w:jc w:val="both"/>
      </w:pPr>
      <w:r>
        <w:rPr>
          <w:rFonts w:ascii="Times New Roman" w:hAnsi="Times New Roman"/>
          <w:b w:val="0"/>
          <w:i w:val="0"/>
          <w:sz w:val="24"/>
          <w:u w:val="none"/>
        </w:rPr>
        <w:t>A acurácia geral elevada (&gt;98% em todos os modelos) reflete o forte desbalanceamento do dataset, no qual a classe Normal representa a grande maioria das observações. Por isso, o F1-macro é a métrica primária, pois trata igualmente todas as classes independentemente de sua frequência.</w:t>
      </w:r>
    </w:p>
    <w:p>
      <w:pPr>
        <w:spacing w:before="240" w:after="120" w:lineRule="auto" w:line="360"/>
        <w:jc w:val="left"/>
      </w:pPr>
      <w:r>
        <w:rPr>
          <w:rFonts w:ascii="Times New Roman" w:hAnsi="Times New Roman"/>
          <w:b/>
          <w:i w:val="0"/>
          <w:sz w:val="24"/>
          <w:u w:val="none"/>
        </w:rPr>
        <w:t>3.2 Análise SHAP — Importância das Features</w:t>
      </w:r>
    </w:p>
    <w:p>
      <w:pPr>
        <w:spacing w:before="0" w:after="120" w:lineRule="auto" w:line="360"/>
        <w:ind w:firstLine="709"/>
        <w:jc w:val="both"/>
      </w:pPr>
      <w:r>
        <w:rPr>
          <w:rFonts w:ascii="Times New Roman" w:hAnsi="Times New Roman"/>
          <w:b w:val="0"/>
          <w:i w:val="0"/>
          <w:sz w:val="24"/>
          <w:u w:val="none"/>
        </w:rPr>
        <w:t>A análise SHAP do modelo LightGBM revelou que as cinco features mais importantes (por valor médio |SHAP|) são todas derivadas do sensor T-JUS-CKP (temperatura a jusante da válvula choke): T_JUS_CKP_roll_min_30, T_JUS_CKP_roll_mean_5, T_JUS_CKP_roll_std_30, T_JUS_CKP_roll_std_10 e T_JUS_CKP_roll_mean_30.</w:t>
      </w:r>
    </w:p>
    <w:p>
      <w:pPr>
        <w:spacing w:before="0" w:after="120" w:lineRule="auto" w:line="360"/>
        <w:ind w:firstLine="709"/>
        <w:jc w:val="both"/>
      </w:pPr>
      <w:r>
        <w:rPr>
          <w:rFonts w:ascii="Times New Roman" w:hAnsi="Times New Roman"/>
          <w:b w:val="0"/>
          <w:i w:val="0"/>
          <w:sz w:val="24"/>
          <w:u w:val="none"/>
        </w:rPr>
        <w:t>O segundo sensor mais relevante é T-TPT (temperatura no sensor TPT), que aparece nas posições seguintes por meio de suas estatísticas de desvio padrão (T_TPT_roll_std_30, T_TPT_roll_std_10, T_TPT_roll_std_5). A relevância do desvio padrão temporal sugere que a variabilidade das temperaturas é um sinal mais discriminativo que os valores absolutos, o que é fisicamente consistente com a natureza dinâmica dos eventos de slugging e instabilidade de fluxo.</w:t>
      </w:r>
    </w:p>
    <w:p>
      <w:pPr>
        <w:spacing w:before="0" w:after="120" w:lineRule="auto" w:line="360"/>
        <w:ind w:firstLine="709"/>
        <w:jc w:val="both"/>
      </w:pPr>
      <w:r>
        <w:rPr>
          <w:rFonts w:ascii="Times New Roman" w:hAnsi="Times New Roman"/>
          <w:b w:val="0"/>
          <w:i w:val="0"/>
          <w:sz w:val="24"/>
          <w:u w:val="none"/>
        </w:rPr>
        <w:t>A Tabela 3 resume a importância SHAP por sensor, agrupando todas as features derivadas de cada sensor original.</w:t>
      </w:r>
    </w:p>
    <w:p>
      <w:pPr>
        <w:spacing w:before="120" w:after="60" w:lineRule="auto" w:line="240"/>
        <w:jc w:val="center"/>
      </w:pPr>
      <w:r>
        <w:rPr>
          <w:rFonts w:ascii="Times New Roman" w:hAnsi="Times New Roman"/>
          <w:b w:val="0"/>
          <w:i/>
          <w:sz w:val="20"/>
          <w:u w:val="none"/>
        </w:rPr>
        <w:t>Tabela 3 — Importância SHAP agregada por sensor (modelo LightGBM).</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D9D9D9"/>
          </w:tcPr>
          <w:p>
            <w:pPr>
              <w:jc w:val="center"/>
            </w:pPr>
            <w:r>
              <w:rPr>
                <w:rFonts w:ascii="Times New Roman" w:hAnsi="Times New Roman"/>
                <w:b/>
                <w:sz w:val="20"/>
              </w:rPr>
              <w:t>Posto</w:t>
            </w:r>
          </w:p>
        </w:tc>
        <w:tc>
          <w:tcPr>
            <w:tcW w:type="dxa" w:w="5386"/>
            <w:shd w:val="clear" w:color="auto" w:fill="D9D9D9"/>
          </w:tcPr>
          <w:p>
            <w:pPr>
              <w:jc w:val="center"/>
            </w:pPr>
            <w:r>
              <w:rPr>
                <w:rFonts w:ascii="Times New Roman" w:hAnsi="Times New Roman"/>
                <w:b/>
                <w:sz w:val="20"/>
              </w:rPr>
              <w:t>Sensor</w:t>
            </w:r>
          </w:p>
        </w:tc>
        <w:tc>
          <w:tcPr>
            <w:tcW w:type="dxa" w:w="2835"/>
            <w:shd w:val="clear" w:color="auto" w:fill="D9D9D9"/>
          </w:tcPr>
          <w:p>
            <w:pPr>
              <w:jc w:val="center"/>
            </w:pPr>
            <w:r>
              <w:rPr>
                <w:rFonts w:ascii="Times New Roman" w:hAnsi="Times New Roman"/>
                <w:b/>
                <w:sz w:val="20"/>
              </w:rPr>
              <w:t>Importância SHAP Normalizada</w:t>
            </w:r>
          </w:p>
        </w:tc>
      </w:tr>
      <w:tr>
        <w:tc>
          <w:tcPr>
            <w:tcW w:type="dxa" w:w="850"/>
          </w:tcPr>
          <w:p>
            <w:pPr>
              <w:jc w:val="center"/>
            </w:pPr>
            <w:r>
              <w:rPr>
                <w:rFonts w:ascii="Times New Roman" w:hAnsi="Times New Roman"/>
                <w:sz w:val="20"/>
              </w:rPr>
              <w:t>1°</w:t>
            </w:r>
          </w:p>
        </w:tc>
        <w:tc>
          <w:tcPr>
            <w:tcW w:type="dxa" w:w="5386"/>
          </w:tcPr>
          <w:p>
            <w:pPr>
              <w:jc w:val="center"/>
            </w:pPr>
            <w:r>
              <w:rPr>
                <w:rFonts w:ascii="Times New Roman" w:hAnsi="Times New Roman"/>
                <w:sz w:val="20"/>
              </w:rPr>
              <w:t>T-JUS-CKP (temperatura a jusante da válvula choke)</w:t>
            </w:r>
          </w:p>
        </w:tc>
        <w:tc>
          <w:tcPr>
            <w:tcW w:type="dxa" w:w="2835"/>
          </w:tcPr>
          <w:p>
            <w:pPr>
              <w:jc w:val="center"/>
            </w:pPr>
            <w:r>
              <w:rPr>
                <w:rFonts w:ascii="Times New Roman" w:hAnsi="Times New Roman"/>
                <w:sz w:val="20"/>
              </w:rPr>
              <w:t>42,3%</w:t>
            </w:r>
          </w:p>
        </w:tc>
      </w:tr>
      <w:tr>
        <w:tc>
          <w:tcPr>
            <w:tcW w:type="dxa" w:w="850"/>
          </w:tcPr>
          <w:p>
            <w:pPr>
              <w:jc w:val="center"/>
            </w:pPr>
            <w:r>
              <w:rPr>
                <w:rFonts w:ascii="Times New Roman" w:hAnsi="Times New Roman"/>
                <w:sz w:val="20"/>
              </w:rPr>
              <w:t>2°</w:t>
            </w:r>
          </w:p>
        </w:tc>
        <w:tc>
          <w:tcPr>
            <w:tcW w:type="dxa" w:w="5386"/>
          </w:tcPr>
          <w:p>
            <w:pPr>
              <w:jc w:val="center"/>
            </w:pPr>
            <w:r>
              <w:rPr>
                <w:rFonts w:ascii="Times New Roman" w:hAnsi="Times New Roman"/>
                <w:sz w:val="20"/>
              </w:rPr>
              <w:t>T-TPT (temperatura no sensor TPT)</w:t>
            </w:r>
          </w:p>
        </w:tc>
        <w:tc>
          <w:tcPr>
            <w:tcW w:type="dxa" w:w="2835"/>
          </w:tcPr>
          <w:p>
            <w:pPr>
              <w:jc w:val="center"/>
            </w:pPr>
            <w:r>
              <w:rPr>
                <w:rFonts w:ascii="Times New Roman" w:hAnsi="Times New Roman"/>
                <w:sz w:val="20"/>
              </w:rPr>
              <w:t>28,7%</w:t>
            </w:r>
          </w:p>
        </w:tc>
      </w:tr>
      <w:tr>
        <w:tc>
          <w:tcPr>
            <w:tcW w:type="dxa" w:w="850"/>
          </w:tcPr>
          <w:p>
            <w:pPr>
              <w:jc w:val="center"/>
            </w:pPr>
            <w:r>
              <w:rPr>
                <w:rFonts w:ascii="Times New Roman" w:hAnsi="Times New Roman"/>
                <w:sz w:val="20"/>
              </w:rPr>
              <w:t>3°</w:t>
            </w:r>
          </w:p>
        </w:tc>
        <w:tc>
          <w:tcPr>
            <w:tcW w:type="dxa" w:w="5386"/>
          </w:tcPr>
          <w:p>
            <w:pPr>
              <w:jc w:val="center"/>
            </w:pPr>
            <w:r>
              <w:rPr>
                <w:rFonts w:ascii="Times New Roman" w:hAnsi="Times New Roman"/>
                <w:sz w:val="20"/>
              </w:rPr>
              <w:t>P-PDG (pressão no PDG)</w:t>
            </w:r>
          </w:p>
        </w:tc>
        <w:tc>
          <w:tcPr>
            <w:tcW w:type="dxa" w:w="2835"/>
          </w:tcPr>
          <w:p>
            <w:pPr>
              <w:jc w:val="center"/>
            </w:pPr>
            <w:r>
              <w:rPr>
                <w:rFonts w:ascii="Times New Roman" w:hAnsi="Times New Roman"/>
                <w:sz w:val="20"/>
              </w:rPr>
              <w:t>11,4%</w:t>
            </w:r>
          </w:p>
        </w:tc>
      </w:tr>
      <w:tr>
        <w:tc>
          <w:tcPr>
            <w:tcW w:type="dxa" w:w="850"/>
          </w:tcPr>
          <w:p>
            <w:pPr>
              <w:jc w:val="center"/>
            </w:pPr>
            <w:r>
              <w:rPr>
                <w:rFonts w:ascii="Times New Roman" w:hAnsi="Times New Roman"/>
                <w:sz w:val="20"/>
              </w:rPr>
              <w:t>4°</w:t>
            </w:r>
          </w:p>
        </w:tc>
        <w:tc>
          <w:tcPr>
            <w:tcW w:type="dxa" w:w="5386"/>
          </w:tcPr>
          <w:p>
            <w:pPr>
              <w:jc w:val="center"/>
            </w:pPr>
            <w:r>
              <w:rPr>
                <w:rFonts w:ascii="Times New Roman" w:hAnsi="Times New Roman"/>
                <w:sz w:val="20"/>
              </w:rPr>
              <w:t>P-TPT (pressão no TPT)</w:t>
            </w:r>
          </w:p>
        </w:tc>
        <w:tc>
          <w:tcPr>
            <w:tcW w:type="dxa" w:w="2835"/>
          </w:tcPr>
          <w:p>
            <w:pPr>
              <w:jc w:val="center"/>
            </w:pPr>
            <w:r>
              <w:rPr>
                <w:rFonts w:ascii="Times New Roman" w:hAnsi="Times New Roman"/>
                <w:sz w:val="20"/>
              </w:rPr>
              <w:t>8,9%</w:t>
            </w:r>
          </w:p>
        </w:tc>
      </w:tr>
      <w:tr>
        <w:tc>
          <w:tcPr>
            <w:tcW w:type="dxa" w:w="850"/>
          </w:tcPr>
          <w:p>
            <w:pPr>
              <w:jc w:val="center"/>
            </w:pPr>
            <w:r>
              <w:rPr>
                <w:rFonts w:ascii="Times New Roman" w:hAnsi="Times New Roman"/>
                <w:sz w:val="20"/>
              </w:rPr>
              <w:t>5°</w:t>
            </w:r>
          </w:p>
        </w:tc>
        <w:tc>
          <w:tcPr>
            <w:tcW w:type="dxa" w:w="5386"/>
          </w:tcPr>
          <w:p>
            <w:pPr>
              <w:jc w:val="center"/>
            </w:pPr>
            <w:r>
              <w:rPr>
                <w:rFonts w:ascii="Times New Roman" w:hAnsi="Times New Roman"/>
                <w:sz w:val="20"/>
              </w:rPr>
              <w:t>P-MON-CKP (pressão a montante da válvula choke)</w:t>
            </w:r>
          </w:p>
        </w:tc>
        <w:tc>
          <w:tcPr>
            <w:tcW w:type="dxa" w:w="2835"/>
          </w:tcPr>
          <w:p>
            <w:pPr>
              <w:jc w:val="center"/>
            </w:pPr>
            <w:r>
              <w:rPr>
                <w:rFonts w:ascii="Times New Roman" w:hAnsi="Times New Roman"/>
                <w:sz w:val="20"/>
              </w:rPr>
              <w:t>5,2%</w:t>
            </w:r>
          </w:p>
        </w:tc>
      </w:tr>
      <w:tr>
        <w:tc>
          <w:tcPr>
            <w:tcW w:type="dxa" w:w="850"/>
          </w:tcPr>
          <w:p>
            <w:pPr>
              <w:jc w:val="center"/>
            </w:pPr>
            <w:r>
              <w:rPr>
                <w:rFonts w:ascii="Times New Roman" w:hAnsi="Times New Roman"/>
                <w:sz w:val="20"/>
              </w:rPr>
              <w:t>6°–8°</w:t>
            </w:r>
          </w:p>
        </w:tc>
        <w:tc>
          <w:tcPr>
            <w:tcW w:type="dxa" w:w="5386"/>
          </w:tcPr>
          <w:p>
            <w:pPr>
              <w:jc w:val="center"/>
            </w:pPr>
            <w:r>
              <w:rPr>
                <w:rFonts w:ascii="Times New Roman" w:hAnsi="Times New Roman"/>
                <w:sz w:val="20"/>
              </w:rPr>
              <w:t>P-JUS-CKGL, T-JUS-CKGL, QGL</w:t>
            </w:r>
          </w:p>
        </w:tc>
        <w:tc>
          <w:tcPr>
            <w:tcW w:type="dxa" w:w="2835"/>
          </w:tcPr>
          <w:p>
            <w:pPr>
              <w:jc w:val="center"/>
            </w:pPr>
            <w:r>
              <w:rPr>
                <w:rFonts w:ascii="Times New Roman" w:hAnsi="Times New Roman"/>
                <w:sz w:val="20"/>
              </w:rPr>
              <w:t>3,5%</w:t>
            </w:r>
          </w:p>
        </w:tc>
      </w:tr>
    </w:tbl>
    <w:p>
      <w:pPr>
        <w:spacing w:before="60" w:after="240" w:lineRule="auto" w:line="240"/>
        <w:jc w:val="center"/>
      </w:pPr>
      <w:r>
        <w:rPr>
          <w:rFonts w:ascii="Times New Roman" w:hAnsi="Times New Roman"/>
          <w:b w:val="0"/>
          <w:i/>
          <w:sz w:val="18"/>
          <w:u w:val="none"/>
        </w:rPr>
        <w:t>Fonte: análise SHAP TreeExplainer sobre amostra estratificada de 2.000 instâncias de teste.</w:t>
      </w:r>
    </w:p>
    <w:p>
      <w:pPr>
        <w:spacing w:before="240" w:after="120" w:lineRule="auto" w:line="360"/>
        <w:jc w:val="left"/>
      </w:pPr>
      <w:r>
        <w:rPr>
          <w:rFonts w:ascii="Times New Roman" w:hAnsi="Times New Roman"/>
          <w:b/>
          <w:i w:val="0"/>
          <w:sz w:val="24"/>
          <w:u w:val="none"/>
        </w:rPr>
        <w:t>4 DISCUSSÃO</w:t>
      </w:r>
    </w:p>
    <w:p>
      <w:pPr>
        <w:spacing w:before="0" w:after="120" w:lineRule="auto" w:line="360"/>
        <w:ind w:firstLine="709"/>
        <w:jc w:val="both"/>
      </w:pPr>
      <w:r>
        <w:rPr>
          <w:rFonts w:ascii="Times New Roman" w:hAnsi="Times New Roman"/>
          <w:b w:val="0"/>
          <w:i w:val="0"/>
          <w:sz w:val="24"/>
          <w:u w:val="none"/>
        </w:rPr>
        <w:t>O desempenho superior do LightGBM (F1-macro 96,7% no teste completo) em relação ao XGBoost (93,2% após tuning) e ao Random Forest (89,4% após tuning) está alinhado com a literatura recente sobre dados tabulares de alta dimensionalidade [7]. O crescimento leaf-wise do LightGBM — que prioriza nós com maior redução de perda, independentemente da profundidade — mostrou-se mais eficaz que a estratégia level-wise do XGBoost na modelagem das fronteiras de decisão complexas entre classes de eventos raros. Importa destacar que todos os modelos foram treinados no mesmo volume de dados (500k amostras via chunked sampling estratificado), garantindo comparação justa.</w:t>
      </w:r>
    </w:p>
    <w:p>
      <w:pPr>
        <w:spacing w:before="0" w:after="120" w:lineRule="auto" w:line="360"/>
        <w:ind w:firstLine="709"/>
        <w:jc w:val="both"/>
      </w:pPr>
      <w:r>
        <w:rPr>
          <w:rFonts w:ascii="Times New Roman" w:hAnsi="Times New Roman"/>
          <w:b w:val="0"/>
          <w:i w:val="0"/>
          <w:sz w:val="24"/>
          <w:u w:val="none"/>
        </w:rPr>
        <w:t>O maior desafio observado foi a classificação de eventos raros, especialmente DHSV Closure (classe 2) e Slugging Severo (classe 3), cujas amostras representam menos de 0,5% do volume total. A estratificação por chunks durante a amostragem foi fundamental: sem essa correção, o RF registrou F1-macro próximo de zero por treinar exclusivamente em registros da classe Normal (viés temporal). Após a correção, o F1-macro baseline do RF passou para 81,4%, evidenciando que a qualidade da amostragem tem impacto comparável ao da escolha do algoritmo.</w:t>
      </w:r>
    </w:p>
    <w:p>
      <w:pPr>
        <w:spacing w:before="0" w:after="120" w:lineRule="auto" w:line="360"/>
        <w:ind w:firstLine="709"/>
        <w:jc w:val="both"/>
      </w:pPr>
      <w:r>
        <w:rPr>
          <w:rFonts w:ascii="Times New Roman" w:hAnsi="Times New Roman"/>
          <w:b w:val="0"/>
          <w:i w:val="0"/>
          <w:sz w:val="24"/>
          <w:u w:val="none"/>
        </w:rPr>
        <w:t>O threshold tuning por classe demonstrou ganhos práticos sem necessidade de retreinamento. Ao reduzir o threshold da classe DHSV de 0,5 para aproximadamente 0,10, o modelo passou a classificar como DHSV qualquer amostra em que a probabilidade de DHSV excedesse 10% do limiar de outras classes, aumentando a sensibilidade para esse evento crítico de segurança. Essa técnica é especialmente valiosa em contextos industriais onde o custo de falso negativo (evento não detectado) é muito superior ao custo de falso positivo.</w:t>
      </w:r>
    </w:p>
    <w:p>
      <w:pPr>
        <w:spacing w:before="0" w:after="120" w:lineRule="auto" w:line="360"/>
        <w:ind w:firstLine="709"/>
        <w:jc w:val="both"/>
      </w:pPr>
      <w:r>
        <w:rPr>
          <w:rFonts w:ascii="Times New Roman" w:hAnsi="Times New Roman"/>
          <w:b w:val="0"/>
          <w:i w:val="0"/>
          <w:sz w:val="24"/>
          <w:u w:val="none"/>
        </w:rPr>
        <w:t>A análise SHAP revelou que T-JUS-CKP é o sensor mais informativo em todos os tipos de evento. Fisicamente, isso é coerente: a temperatura a jusante da válvula choke é diretamente afetada por mudanças no regime de escoamento, pela abertura da válvula (DHSV), pela entrada de água (BSW) e pela perda de produtividade do reservatório. Essa descoberta tem implicação prática: em cenários de manutenção preditiva com budget limitado de sensores, T-JUS-CKP deve ser priorizado.</w:t>
      </w:r>
    </w:p>
    <w:p>
      <w:pPr>
        <w:spacing w:before="0" w:after="120" w:lineRule="auto" w:line="360"/>
        <w:ind w:firstLine="709"/>
        <w:jc w:val="both"/>
      </w:pPr>
      <w:r>
        <w:rPr>
          <w:rFonts w:ascii="Times New Roman" w:hAnsi="Times New Roman"/>
          <w:b w:val="0"/>
          <w:i w:val="0"/>
          <w:sz w:val="24"/>
          <w:u w:val="none"/>
        </w:rPr>
        <w:t>O XGBoost com 500 rounds ainda atingiu o limite máximo de estimadores (best_iteration=500), indicando que o modelo não convergiu completamente. Experimentos com 1.000 rounds podem elevar ainda mais o F1-macro além dos 93,2% obtidos. Em contrapartida, o LightGBM não se beneficiou do threshold tuning (Δ = -0,3 pp), o que sugere que seus 500 rounds foram suficientes para calibração robusta das probabilidades, tornando o ajuste de thresholds desnecessário para esse modelo.</w:t>
      </w:r>
    </w:p>
    <w:p>
      <w:pPr>
        <w:spacing w:before="0" w:after="120" w:lineRule="auto" w:line="360"/>
        <w:ind w:firstLine="709"/>
        <w:jc w:val="both"/>
      </w:pPr>
      <w:r>
        <w:rPr>
          <w:rFonts w:ascii="Times New Roman" w:hAnsi="Times New Roman"/>
          <w:b w:val="0"/>
          <w:i w:val="0"/>
          <w:sz w:val="24"/>
          <w:u w:val="none"/>
        </w:rPr>
        <w:t>Comparativamente a trabalhos relacionados, Vargas et al. [4] reportaram acurácias acima de 95% com redes neurais LSTM no dataset 3W original, porém em cenários com menor número de classes e sem análise de interpretabilidade. O presente trabalho complementa esses resultados ao oferecer modelos mais rápidos de treinar, auditáveis via SHAP, e implantáveis em infraestrutura modesta (EC2 t3.large com 8 GB de RAM).</w:t>
      </w:r>
    </w:p>
    <w:p>
      <w:pPr>
        <w:spacing w:before="240" w:after="120" w:lineRule="auto" w:line="360"/>
        <w:jc w:val="left"/>
      </w:pPr>
      <w:r>
        <w:rPr>
          <w:rFonts w:ascii="Times New Roman" w:hAnsi="Times New Roman"/>
          <w:b/>
          <w:i w:val="0"/>
          <w:sz w:val="24"/>
          <w:u w:val="none"/>
        </w:rPr>
        <w:t>5 CONCLUSÃO</w:t>
      </w:r>
    </w:p>
    <w:p>
      <w:pPr>
        <w:spacing w:before="0" w:after="120" w:lineRule="auto" w:line="360"/>
        <w:ind w:firstLine="709"/>
        <w:jc w:val="both"/>
      </w:pPr>
      <w:r>
        <w:rPr>
          <w:rFonts w:ascii="Times New Roman" w:hAnsi="Times New Roman"/>
          <w:b w:val="0"/>
          <w:i w:val="0"/>
          <w:sz w:val="24"/>
          <w:u w:val="none"/>
        </w:rPr>
        <w:t>Este trabalho apresentou um pipeline completo de aprendizado de máquina para detecção e classificação de eventos indesejáveis em poços de petróleo offshore, utilizando o dataset 3W da Petrobras com sete classes de eventos nos poços WELL-00001, WELL-00002 e WELL-00006.</w:t>
      </w:r>
    </w:p>
    <w:p>
      <w:pPr>
        <w:spacing w:before="0" w:after="120" w:lineRule="auto" w:line="360"/>
        <w:ind w:firstLine="709"/>
        <w:jc w:val="both"/>
      </w:pPr>
      <w:r>
        <w:rPr>
          <w:rFonts w:ascii="Times New Roman" w:hAnsi="Times New Roman"/>
          <w:b w:val="0"/>
          <w:i w:val="0"/>
          <w:sz w:val="24"/>
          <w:u w:val="none"/>
        </w:rPr>
        <w:t>Os principais resultados obtidos foram: (i) o LightGBM alcançou F1-macro de 96,7% no conjunto de teste completo, superando XGBoost (93,2% após tuning) e Random Forest (89,4% após tuning), em experimentos com dataset igualado (500k amostras, chunked sampling estratificado); (ii) a arquitetura Medallion com engenharia de features temporais (rolling statistics e lag features) mostrou-se eficaz para preparação industrial de séries temporais multivariadas; (iii) o threshold tuning gerou ganhos de +8,4 pp no RF e +9,7 pp no XGB sem retreinamento; e (iv) a análise SHAP identificou T-JUS-CKP como o sensor mais discriminativo, com importância agregada de 42,3%.</w:t>
      </w:r>
    </w:p>
    <w:p>
      <w:pPr>
        <w:spacing w:before="0" w:after="120" w:lineRule="auto" w:line="360"/>
        <w:ind w:firstLine="709"/>
        <w:jc w:val="both"/>
      </w:pPr>
      <w:r>
        <w:rPr>
          <w:rFonts w:ascii="Times New Roman" w:hAnsi="Times New Roman"/>
          <w:b w:val="0"/>
          <w:i w:val="0"/>
          <w:sz w:val="24"/>
          <w:u w:val="none"/>
        </w:rPr>
        <w:t>Como trabalhos futuros, destacam-se: (a) retreinamento de XGBoost e LightGBM no escopo de 7 classes para comparação justa; (b) investigação de modelos sequenciais (LSTM, Transformer) capazes de capturar dependências temporais de longo prazo não contempladas pelas features rolling; (c) extensão do estudo para os demais poços do dataset 3W; e (d) implantação do pipeline em ambiente de produção com inferência em tempo real via API REST no AWS EC2.</w:t>
      </w:r>
    </w:p>
    <w:p>
      <w:pPr>
        <w:spacing w:before="0" w:after="120" w:lineRule="auto" w:line="360"/>
        <w:ind w:firstLine="709"/>
        <w:jc w:val="both"/>
      </w:pPr>
      <w:r>
        <w:rPr>
          <w:rFonts w:ascii="Times New Roman" w:hAnsi="Times New Roman"/>
          <w:b w:val="0"/>
          <w:i w:val="0"/>
          <w:sz w:val="24"/>
          <w:u w:val="none"/>
        </w:rPr>
        <w:t>O código-fonte completo, os scripts de treinamento e os resultados dos modelos estão disponíveis publicamente em: github.com/AlanPinheiro19/projeto-3w-aws.</w:t>
      </w:r>
    </w:p>
    <w:p>
      <w:pPr>
        <w:spacing w:before="240" w:after="120" w:lineRule="auto" w:line="360"/>
        <w:jc w:val="left"/>
      </w:pPr>
      <w:r>
        <w:rPr>
          <w:rFonts w:ascii="Times New Roman" w:hAnsi="Times New Roman"/>
          <w:b/>
          <w:i w:val="0"/>
          <w:sz w:val="24"/>
          <w:u w:val="none"/>
        </w:rPr>
        <w:t>REFERÊNCIAS</w:t>
      </w:r>
    </w:p>
    <w:p>
      <w:pPr>
        <w:spacing w:before="0" w:after="80" w:lineRule="auto" w:line="240"/>
        <w:ind w:left="709" w:hanging="709"/>
        <w:jc w:val="both"/>
      </w:pPr>
      <w:r>
        <w:rPr>
          <w:rFonts w:ascii="Times New Roman" w:hAnsi="Times New Roman"/>
          <w:sz w:val="20"/>
        </w:rPr>
        <w:t>[1] AGÊNCIA NACIONAL DO PETRÓLEO, GÁS NATURAL E BIOCOMBUSTÍVEIS — ANP. Regulamento Técnico do Sistema de Gerenciamento da Segurança Operacional. Resolução ANP nº 43, de 25 de novembro de 2007. Rio de Janeiro: ANP, 2007.</w:t>
      </w:r>
    </w:p>
    <w:p>
      <w:pPr>
        <w:spacing w:before="0" w:after="80" w:lineRule="auto" w:line="240"/>
        <w:ind w:left="709" w:hanging="709"/>
        <w:jc w:val="both"/>
      </w:pPr>
      <w:r>
        <w:rPr>
          <w:rFonts w:ascii="Times New Roman" w:hAnsi="Times New Roman"/>
          <w:sz w:val="20"/>
        </w:rPr>
        <w:t>[2] VOSS, M. S.; HU, X. Decision tree-based ensemble methods for oil production anomaly detection. Journal of Petroleum Science and Engineering, v. 212, p. 110252, 2022. DOI: 10.1016/j.petrol.2022.110252.</w:t>
      </w:r>
    </w:p>
    <w:p>
      <w:pPr>
        <w:spacing w:before="0" w:after="80" w:lineRule="auto" w:line="240"/>
        <w:ind w:left="709" w:hanging="709"/>
        <w:jc w:val="both"/>
      </w:pPr>
      <w:r>
        <w:rPr>
          <w:rFonts w:ascii="Times New Roman" w:hAnsi="Times New Roman"/>
          <w:sz w:val="20"/>
        </w:rPr>
        <w:t>[3] VARGAS, R. E. V.; MUNARO, C. J.; CIARELLI, P. M.; MEDEIROS, A. G.; AMARAL, B. G.; BARRETO, D. C.; ARAÚJO, J. C. P.; RIBEIRO, A. C. R.; RAMOS, R. A. C. A realistic and public dataset with rare undesirable real events in oil wells. Journal of Petroleum Science and Engineering, v. 181, p. 106223, 2019. DOI: 10.1016/j.petrol.2019.106223.</w:t>
      </w:r>
    </w:p>
    <w:p>
      <w:pPr>
        <w:spacing w:before="0" w:after="80" w:lineRule="auto" w:line="240"/>
        <w:ind w:left="709" w:hanging="709"/>
        <w:jc w:val="both"/>
      </w:pPr>
      <w:r>
        <w:rPr>
          <w:rFonts w:ascii="Times New Roman" w:hAnsi="Times New Roman"/>
          <w:sz w:val="20"/>
        </w:rPr>
        <w:t>[4] VARGAS, R. E. V.; RIBEIRO, A. C. R.; BARRETO, D. C.; AMARAL, B. G. 3W: a Dataset and a Benchmark Challenge for Event Detection and Classification in Oil Wells — v2.0.0. Zenodo, 2022. DOI: 10.5281/zenodo.7615480.</w:t>
      </w:r>
    </w:p>
    <w:p>
      <w:pPr>
        <w:spacing w:before="0" w:after="80" w:lineRule="auto" w:line="240"/>
        <w:ind w:left="709" w:hanging="709"/>
        <w:jc w:val="both"/>
      </w:pPr>
      <w:r>
        <w:rPr>
          <w:rFonts w:ascii="Times New Roman" w:hAnsi="Times New Roman"/>
          <w:sz w:val="20"/>
        </w:rPr>
        <w:t>[5] DATABRICKS. The Medallion Architecture: Best Practices for Data Lake Reliability. Disponível em: https://www.databricks.com/glossary/medallion-architecture. Acesso em: jul. 2026.</w:t>
      </w:r>
    </w:p>
    <w:p>
      <w:pPr>
        <w:spacing w:before="0" w:after="80" w:lineRule="auto" w:line="240"/>
        <w:ind w:left="709" w:hanging="709"/>
        <w:jc w:val="both"/>
      </w:pPr>
      <w:r>
        <w:rPr>
          <w:rFonts w:ascii="Times New Roman" w:hAnsi="Times New Roman"/>
          <w:sz w:val="20"/>
        </w:rPr>
        <w:t>[6] LUNDBERG, S. M.; LEE, S. I. A unified approach to interpreting model predictions. In: ADVANCES IN NEURAL INFORMATION PROCESSING SYSTEMS, 30., 2017, Long Beach. Proceedings... Red Hook: Curran Associates, 2017. p. 4765–4774.</w:t>
      </w:r>
    </w:p>
    <w:p>
      <w:pPr>
        <w:spacing w:before="0" w:after="80" w:lineRule="auto" w:line="240"/>
        <w:ind w:left="709" w:hanging="709"/>
        <w:jc w:val="both"/>
      </w:pPr>
      <w:r>
        <w:rPr>
          <w:rFonts w:ascii="Times New Roman" w:hAnsi="Times New Roman"/>
          <w:sz w:val="20"/>
        </w:rPr>
        <w:t>[7] KE, G.; MENG, Q.; FINLEY, T.; WANG, T.; CHEN, W.; MA, W.; YE, Q.; LIU, T. LightGBM: A highly efficient gradient boosting decision tree. In: ADVANCES IN NEURAL INFORMATION PROCESSING SYSTEMS, 30., 2017, Long Beach. Proceedings... Red Hook: Curran Associates, 2017. p. 3146–3154.</w:t>
      </w:r>
    </w:p>
    <w:p>
      <w:pPr>
        <w:spacing w:before="0" w:after="80" w:lineRule="auto" w:line="240"/>
        <w:ind w:left="709" w:hanging="709"/>
        <w:jc w:val="both"/>
      </w:pPr>
      <w:r>
        <w:rPr>
          <w:rFonts w:ascii="Times New Roman" w:hAnsi="Times New Roman"/>
          <w:sz w:val="20"/>
        </w:rPr>
        <w:t>[8] CHEN, T.; GUESTRIN, C. XGBoost: A scalable tree boosting system. In: ACM SIGKDD INTERNATIONAL CONFERENCE ON KNOWLEDGE DISCOVERY AND DATA MINING, 22., 2016, San Francisco. Proceedings... New York: ACM, 2016. p. 785–794. DOI: 10.1145/2939672.2939785.</w:t>
      </w:r>
    </w:p>
    <w:p>
      <w:pPr>
        <w:spacing w:before="0" w:after="80" w:lineRule="auto" w:line="240"/>
        <w:ind w:left="709" w:hanging="709"/>
        <w:jc w:val="both"/>
      </w:pPr>
      <w:r>
        <w:rPr>
          <w:rFonts w:ascii="Times New Roman" w:hAnsi="Times New Roman"/>
          <w:sz w:val="20"/>
        </w:rPr>
        <w:t>[9] BREIMAN, L. Random Forests. Machine Learning, v. 45, n. 1, p. 5–32, 2001. DOI: 10.1023/A:1010933404324.</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