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auto" w:line="360"/>
        <w:jc w:val="center"/>
      </w:pPr>
      <w:r>
        <w:rPr>
          <w:rFonts w:ascii="Times New Roman" w:hAnsi="Times New Roman"/>
          <w:b/>
          <w:i w:val="0"/>
          <w:sz w:val="28"/>
          <w:u w:val="none"/>
        </w:rPr>
        <w:t>DETECÇÃO E CLASSIFICAÇÃO DE EVENTOS INDESEJÁVEIS EM POÇOS DE PETRÓLEO OFFSHORE UTILIZANDO APRENDIZADO DE MÁQUINA: UMA ABORDAGEM COM ARQUITETURA MEDALLION E INTERPRETABILIDADE SHAP</w:t>
      </w:r>
    </w:p>
    <w:p>
      <w:pPr>
        <w:spacing w:before="0" w:after="240" w:lineRule="auto" w:line="360"/>
        <w:jc w:val="center"/>
      </w:pPr>
      <w:r>
        <w:rPr>
          <w:rFonts w:ascii="Times New Roman" w:hAnsi="Times New Roman"/>
          <w:b w:val="0"/>
          <w:i/>
          <w:sz w:val="24"/>
          <w:u w:val="none"/>
        </w:rPr>
        <w:t>DETECTION AND CLASSIFICATION OF UNDESIRABLE EVENTS IN OFFSHORE OIL WELLS USING MACHINE LEARNING: A MEDALLION ARCHITECTURE AND SHAP INTERPRETABILITY APPROACH</w:t>
      </w:r>
    </w:p>
    <w:p>
      <w:pPr>
        <w:spacing w:before="0" w:after="60" w:lineRule="auto" w:line="240"/>
        <w:jc w:val="center"/>
      </w:pPr>
      <w:r>
        <w:rPr>
          <w:rFonts w:ascii="Times New Roman" w:hAnsi="Times New Roman"/>
          <w:b/>
          <w:i w:val="0"/>
          <w:sz w:val="24"/>
          <w:u w:val="none"/>
        </w:rPr>
        <w:t>Alan Pinheiro da Silva</w:t>
      </w:r>
    </w:p>
    <w:p>
      <w:pPr>
        <w:spacing w:before="0" w:after="60" w:lineRule="auto" w:line="240"/>
        <w:jc w:val="center"/>
      </w:pPr>
      <w:r>
        <w:rPr>
          <w:rFonts w:ascii="Times New Roman" w:hAnsi="Times New Roman"/>
          <w:b w:val="0"/>
          <w:i/>
          <w:sz w:val="20"/>
          <w:u w:val="none"/>
        </w:rPr>
        <w:t>Especialização em Engenharia de Dados e Big Data — PECE / Escola Politécnica USP</w:t>
      </w:r>
    </w:p>
    <w:p>
      <w:pPr>
        <w:spacing w:before="0" w:after="360" w:lineRule="auto" w:line="240"/>
        <w:jc w:val="center"/>
      </w:pPr>
      <w:r>
        <w:rPr>
          <w:rFonts w:ascii="Times New Roman" w:hAnsi="Times New Roman"/>
          <w:b w:val="0"/>
          <w:i/>
          <w:sz w:val="20"/>
          <w:u w:val="none"/>
        </w:rPr>
        <w:t>eEDB-007 | Trabalho de Conclusão de Curso | 2026</w:t>
      </w:r>
    </w:p>
    <w:p>
      <w:pPr>
        <w:spacing w:before="0" w:after="0" w:lineRule="auto" w:line="240"/>
        <w:jc w:val="both"/>
      </w:pPr>
      <w:r>
        <w:rPr>
          <w:rFonts w:ascii="Times New Roman" w:hAnsi="Times New Roman"/>
          <w:b/>
          <w:sz w:val="20"/>
        </w:rPr>
        <w:t xml:space="preserve">Resumo: </w:t>
      </w:r>
      <w:r>
        <w:rPr>
          <w:rFonts w:ascii="Times New Roman" w:hAnsi="Times New Roman"/>
          <w:sz w:val="20"/>
        </w:rPr>
        <w:t>A detecção precoce de eventos indesejáveis em plantas industriais instrumentadas é um desafio central para a continuidade operacional, a segurança e a mitigação de impactos econômicos e ambientais. Este trabalho propõe e avalia um pipeline completo e generalizável de aprendizado de máquina para detecção e classificação de eventos indesejáveis em processos industriais contínuos, validado como estudo de caso na operação de poços de petróleo offshore utilizando o dataset público 3W da Petrobras (poços WELL-00001, WELL-00002 e WELL-00006, sete classes de eventos). A arquitetura Medallion (Bronze/Silver/Gold) estrutura o pré-processamento e a engenharia de features, gerando estatísticas rolling (janelas de 5, 10 e 30 amostras), features de lag (1 e 3 passos) e normalização Z-score. Três modelos ensemble foram treinados com volume igualado (500.000 amostras estratificadas por classe) e comparados: Random Forest (RF), XGBoost (XGB) e LightGBM (LGB). O LightGBM obteve o melhor desempenho com F1-macro de 96,7% no conjunto de teste. A análise SHAP identificou T-JUS-CKP (59,4%) como a feature mais discriminativa. O threshold tuning por classe elevou o F1-macro do RF de 81,0% para 89,4% e do XGB de 83,4% para 93,2%, demonstrando ganhos expressivos sem retreinamento. Os resultados confirmam a viabilidade de pipelines automatizados e generalizáveis para detecção de anomalias em plantas de processo de alta criticidade.</w:t>
      </w:r>
    </w:p>
    <w:p>
      <w:pPr>
        <w:spacing w:before="120" w:after="360" w:lineRule="auto" w:line="240"/>
        <w:jc w:val="both"/>
      </w:pPr>
      <w:r>
        <w:rPr>
          <w:rFonts w:ascii="Times New Roman" w:hAnsi="Times New Roman"/>
          <w:b/>
          <w:sz w:val="20"/>
        </w:rPr>
        <w:t xml:space="preserve">Palavras-chave: </w:t>
      </w:r>
      <w:r>
        <w:rPr>
          <w:rFonts w:ascii="Times New Roman" w:hAnsi="Times New Roman"/>
          <w:sz w:val="20"/>
        </w:rPr>
        <w:t>detecção de anomalias; plantas industriais instrumentadas; aprendizado de máquina; poços de petróleo offshore; LightGBM; SHAP; arquitetura medallion; dataset 3W.</w:t>
      </w:r>
    </w:p>
    <w:p>
      <w:pPr>
        <w:spacing w:before="0" w:after="0" w:lineRule="auto" w:line="240"/>
        <w:jc w:val="both"/>
      </w:pPr>
      <w:r>
        <w:rPr>
          <w:rFonts w:ascii="Times New Roman" w:hAnsi="Times New Roman"/>
          <w:b/>
          <w:sz w:val="20"/>
        </w:rPr>
        <w:t xml:space="preserve">Abstract: </w:t>
      </w:r>
      <w:r>
        <w:rPr>
          <w:rFonts w:ascii="Times New Roman" w:hAnsi="Times New Roman"/>
          <w:sz w:val="20"/>
        </w:rPr>
        <w:t>Early detection of undesirable events in instrumented industrial plants is a central challenge for operational continuity, safety, and mitigation of economic and environmental impacts. This work proposes and evaluates a complete and generalizable machine learning pipeline for detecting and classifying undesirable events in continuous industrial processes, validated as a case study in offshore oil well operations using Petrobras' public 3W dataset (wells WELL-00001, WELL-00002 and WELL-00006 with seven event classes). A Medallion architecture (Bronze/Silver/Gold) structures preprocessing and feature engineering, generating rolling statistics (windows of 5, 10 and 30 samples), lag features (1 and 3 steps) and Z-score normalization. Three ensemble models were trained with equalized volume (500,000 stratified samples per class) and compared: Random Forest (RF), XGBoost (XGB) and LightGBM (LGB). LightGBM achieved the best performance with 96.7% F1-macro on the test set. SHAP analysis identified T-JUS-CKP (59.4%) as the most discriminative feature. Class-specific threshold tuning raised RF's F1-macro from 81.0% to 89.4% and XGB's from 83.4% to 93.2%. Results confirm the feasibility of automated and generalizable anomaly detection pipelines for high-criticality process plants.</w:t>
      </w:r>
    </w:p>
    <w:p>
      <w:pPr>
        <w:spacing w:before="120" w:after="360" w:lineRule="auto" w:line="240"/>
        <w:jc w:val="both"/>
      </w:pPr>
      <w:r>
        <w:rPr>
          <w:rFonts w:ascii="Times New Roman" w:hAnsi="Times New Roman"/>
          <w:b/>
          <w:sz w:val="20"/>
        </w:rPr>
        <w:t xml:space="preserve">Keywords: </w:t>
      </w:r>
      <w:r>
        <w:rPr>
          <w:rFonts w:ascii="Times New Roman" w:hAnsi="Times New Roman"/>
          <w:sz w:val="20"/>
        </w:rPr>
        <w:t>anomaly detection; instrumented industrial plants; machine learning; offshore oil wells; LightGBM; SHAP; medallion architecture; 3W dataset.</w:t>
      </w:r>
    </w:p>
    <w:p>
      <w:pPr>
        <w:spacing w:before="240" w:after="120" w:lineRule="auto" w:line="360"/>
        <w:jc w:val="left"/>
      </w:pPr>
      <w:r>
        <w:rPr>
          <w:rFonts w:ascii="Times New Roman" w:hAnsi="Times New Roman"/>
          <w:b/>
          <w:i w:val="0"/>
          <w:sz w:val="24"/>
          <w:u w:val="none"/>
        </w:rPr>
        <w:t>1 INTRODUÇÃO</w:t>
      </w:r>
    </w:p>
    <w:p>
      <w:pPr>
        <w:spacing w:before="0" w:after="120" w:lineRule="auto" w:line="360"/>
        <w:ind w:firstLine="709"/>
        <w:jc w:val="both"/>
      </w:pPr>
      <w:r>
        <w:rPr>
          <w:rFonts w:ascii="Times New Roman" w:hAnsi="Times New Roman"/>
          <w:b w:val="0"/>
          <w:i w:val="0"/>
          <w:sz w:val="24"/>
          <w:u w:val="none"/>
        </w:rPr>
        <w:t>A operação de plantas industriais que lidam com processos contínuos sob condições extremas envolve riscos operacionais elevados. Eventos indesejáveis — como fechamento indevido de válvulas de segurança, instabilidades de fluxo ou falhas em sensores críticos — podem provocar paradas não planejadas, perdas de produção e riscos à integridade dos equipamentos e à segurança das equipes [1]. O setor de óleo e gás offshore, por operar em ambiente marinho hostil e de alta criticidade, representa um dos cenários mais desafiadores e, portanto, um campo de validação rigoroso para abordagens de detecção automatizada de anomalias.</w:t>
      </w:r>
    </w:p>
    <w:p>
      <w:pPr>
        <w:spacing w:before="0" w:after="120" w:lineRule="auto" w:line="360"/>
        <w:ind w:firstLine="709"/>
        <w:jc w:val="both"/>
      </w:pPr>
      <w:r>
        <w:rPr>
          <w:rFonts w:ascii="Times New Roman" w:hAnsi="Times New Roman"/>
          <w:b w:val="0"/>
          <w:i w:val="0"/>
          <w:sz w:val="24"/>
          <w:u w:val="none"/>
        </w:rPr>
        <w:t>Historicamente, a detecção desses eventos dependia de monitoramento manual por engenheiros de produção, processo sujeito a falhas humanas e limitado pela quantidade de variáveis monitoradas simultaneamente. A digitalização da indústria do petróleo e gás — impulsionada pelo conceito de Oilfield Digital Twin — criou condições para a aplicação de técnicas de aprendizado de máquina (AM) na detecção automatizada de anomalias [2].</w:t>
      </w:r>
    </w:p>
    <w:p>
      <w:pPr>
        <w:spacing w:before="0" w:after="120" w:lineRule="auto" w:line="360"/>
        <w:ind w:firstLine="709"/>
        <w:jc w:val="both"/>
      </w:pPr>
      <w:r>
        <w:rPr>
          <w:rFonts w:ascii="Times New Roman" w:hAnsi="Times New Roman"/>
          <w:b w:val="0"/>
          <w:i w:val="0"/>
          <w:sz w:val="24"/>
          <w:u w:val="none"/>
        </w:rPr>
        <w:t>Em 2019, a Petrobras publicou o dataset 3W [3], o primeiro benchmark público e representativo para detecção de eventos indesejáveis em poços de petróleo reais. O conjunto de dados contém séries temporais multivariadas de oito sensores de poços onshore e offshore, organizadas em dez classes de eventos. O cenário offshore, por sua extrema complexidade e criticidade, oferece um campo de validação rigoroso para abordagens de AM generalizáveis a outros contextos industriais. Apesar da relevância, a maioria dos trabalhos existentes aborda o problema com modelos isolados, sem pipeline industrial completo ou análise de interpretabilidade [4].</w:t>
      </w:r>
    </w:p>
    <w:p>
      <w:pPr>
        <w:spacing w:before="0" w:after="120" w:lineRule="auto" w:line="360"/>
        <w:ind w:firstLine="709"/>
        <w:jc w:val="both"/>
      </w:pPr>
      <w:r>
        <w:rPr>
          <w:rFonts w:ascii="Times New Roman" w:hAnsi="Times New Roman"/>
          <w:b w:val="0"/>
          <w:i w:val="0"/>
          <w:sz w:val="24"/>
          <w:u w:val="none"/>
        </w:rPr>
        <w:t>Este trabalho propõe um pipeline completo e generalizável de AM para detecção e classificação de eventos indesejáveis em processos industriais, validado no contexto de poços de petróleo offshore utilizando o dataset 3W. As contribuições principais são: (i) arquitetura Medallion (Bronze/Silver/Gold) adaptável a diferentes topologias de instrumentação industrial; (ii) comparação sistemática de Random Forest, XGBoost e LightGBM com estratificação cuidadosa das classes e volume igualado de dados (500.000 amostras estratificadas); (iii) threshold tuning por classe para otimização do F1-macro; e (iv) análise de interpretabilidade SHAP para identificação dos sensores mais discriminativos.</w:t>
      </w:r>
    </w:p>
    <w:p>
      <w:pPr>
        <w:spacing w:before="0" w:after="120" w:lineRule="auto" w:line="360"/>
        <w:ind w:firstLine="709"/>
        <w:jc w:val="both"/>
      </w:pPr>
      <w:r>
        <w:rPr>
          <w:rFonts w:ascii="Times New Roman" w:hAnsi="Times New Roman"/>
          <w:b w:val="0"/>
          <w:i w:val="0"/>
          <w:sz w:val="24"/>
          <w:u w:val="none"/>
        </w:rPr>
        <w:t>O artigo está organizado da seguinte forma: a Seção 2 descreve os materiais e métodos; a Seção 3 apresenta os resultados; a Seção 4 discute as implicações; e a Seção 5 apresenta as conclusões e trabalhos futuros.</w:t>
      </w:r>
    </w:p>
    <w:p>
      <w:pPr>
        <w:spacing w:before="240" w:after="120" w:lineRule="auto" w:line="360"/>
        <w:jc w:val="left"/>
      </w:pPr>
      <w:r>
        <w:rPr>
          <w:rFonts w:ascii="Times New Roman" w:hAnsi="Times New Roman"/>
          <w:b/>
          <w:i w:val="0"/>
          <w:sz w:val="24"/>
          <w:u w:val="none"/>
        </w:rPr>
        <w:t>2 MATERIAIS E MÉTODOS</w:t>
      </w:r>
    </w:p>
    <w:p>
      <w:pPr>
        <w:spacing w:before="240" w:after="120" w:lineRule="auto" w:line="360"/>
        <w:jc w:val="left"/>
      </w:pPr>
      <w:r>
        <w:rPr>
          <w:rFonts w:ascii="Times New Roman" w:hAnsi="Times New Roman"/>
          <w:b/>
          <w:i w:val="0"/>
          <w:sz w:val="24"/>
          <w:u w:val="none"/>
        </w:rPr>
        <w:t>2.1 Dataset 3W</w:t>
      </w:r>
    </w:p>
    <w:p>
      <w:pPr>
        <w:spacing w:before="0" w:after="120" w:lineRule="auto" w:line="360"/>
        <w:ind w:firstLine="709"/>
        <w:jc w:val="both"/>
      </w:pPr>
      <w:r>
        <w:rPr>
          <w:rFonts w:ascii="Times New Roman" w:hAnsi="Times New Roman"/>
          <w:b w:val="0"/>
          <w:i w:val="0"/>
          <w:sz w:val="24"/>
          <w:u w:val="none"/>
        </w:rPr>
        <w:t>O dataset 3W v2.0.0 [3] é um conjunto de séries temporais de poços de petróleo offshore mantido pela Petrobras e disponibilizado publicamente no GitHub (github.com/petrobras/3W). Cada arquivo Parquet corresponde a uma sequência de leituras de oito sensores em um único poço, com frequência de amostragem de 1 Hz. As variáveis de entrada são: pressão no PDG (P-PDG), pressão no sensor de temperatura e pressão (P-TPT), temperatura no TPT (T-TPT), pressão a montante da válvula choke (P-MON-CKP), temperatura a jusante da válvula choke (T-JUS-CKP), pressão a jusante da válvula de gás lift (P-JUS-CKGL), temperatura a jusante da CKGL (T-JUS-CKGL) e vazão de gas lift (QGL).</w:t>
      </w:r>
    </w:p>
    <w:p>
      <w:pPr>
        <w:spacing w:before="0" w:after="120" w:lineRule="auto" w:line="360"/>
        <w:ind w:firstLine="709"/>
        <w:jc w:val="both"/>
      </w:pPr>
      <w:r>
        <w:rPr>
          <w:rFonts w:ascii="Times New Roman" w:hAnsi="Times New Roman"/>
          <w:b w:val="0"/>
          <w:i w:val="0"/>
          <w:sz w:val="24"/>
          <w:u w:val="none"/>
        </w:rPr>
        <w:t>Neste trabalho foram selecionados os poços WELL-00001, WELL-00002 e WELL-00006, escolhidos por apresentarem maior completude de sensores (menos de 30% de valores nulos nas variáveis críticas). O escopo abrange sete classes de eventos, detalhadas na Tabela 1.</w:t>
      </w:r>
    </w:p>
    <w:p>
      <w:pPr>
        <w:spacing w:before="120" w:after="60" w:lineRule="auto" w:line="240"/>
        <w:jc w:val="center"/>
      </w:pPr>
      <w:r>
        <w:rPr>
          <w:rFonts w:ascii="Times New Roman" w:hAnsi="Times New Roman"/>
          <w:b w:val="0"/>
          <w:i/>
          <w:sz w:val="20"/>
          <w:u w:val="none"/>
        </w:rPr>
        <w:t>Tabela 1 — Classes de eventos do dataset 3W utilizadas neste estudo.</w:t>
      </w:r>
    </w:p>
    <w:tbl>
      <w:tblPr>
        <w:tblStyle w:val="TableGrid"/>
        <w:tblW w:type="auto" w:w="0"/>
        <w:tblLook w:firstColumn="1" w:firstRow="1" w:lastColumn="0" w:lastRow="0" w:noHBand="0" w:noVBand="1" w:val="04A0"/>
      </w:tblPr>
      <w:tblGrid>
        <w:gridCol w:w="3024"/>
        <w:gridCol w:w="3024"/>
        <w:gridCol w:w="3024"/>
      </w:tblGrid>
      <w:tr>
        <w:tc>
          <w:tcPr>
            <w:tcW w:type="dxa" w:w="1134"/>
            <w:shd w:val="clear" w:color="auto" w:fill="D9D9D9"/>
          </w:tcPr>
          <w:p>
            <w:pPr>
              <w:jc w:val="center"/>
            </w:pPr>
            <w:r>
              <w:rPr>
                <w:rFonts w:ascii="Times New Roman" w:hAnsi="Times New Roman"/>
                <w:b/>
                <w:sz w:val="20"/>
              </w:rPr>
              <w:t>Código</w:t>
            </w:r>
          </w:p>
        </w:tc>
        <w:tc>
          <w:tcPr>
            <w:tcW w:type="dxa" w:w="3118"/>
            <w:shd w:val="clear" w:color="auto" w:fill="D9D9D9"/>
          </w:tcPr>
          <w:p>
            <w:pPr>
              <w:jc w:val="center"/>
            </w:pPr>
            <w:r>
              <w:rPr>
                <w:rFonts w:ascii="Times New Roman" w:hAnsi="Times New Roman"/>
                <w:b/>
                <w:sz w:val="20"/>
              </w:rPr>
              <w:t>Denominação</w:t>
            </w:r>
          </w:p>
        </w:tc>
        <w:tc>
          <w:tcPr>
            <w:tcW w:type="dxa" w:w="4819"/>
            <w:shd w:val="clear" w:color="auto" w:fill="D9D9D9"/>
          </w:tcPr>
          <w:p>
            <w:pPr>
              <w:jc w:val="center"/>
            </w:pPr>
            <w:r>
              <w:rPr>
                <w:rFonts w:ascii="Times New Roman" w:hAnsi="Times New Roman"/>
                <w:b/>
                <w:sz w:val="20"/>
              </w:rPr>
              <w:t>Descrição Resumida</w:t>
            </w:r>
          </w:p>
        </w:tc>
      </w:tr>
      <w:tr>
        <w:tc>
          <w:tcPr>
            <w:tcW w:type="dxa" w:w="1134"/>
          </w:tcPr>
          <w:p>
            <w:pPr>
              <w:jc w:val="center"/>
            </w:pPr>
            <w:r>
              <w:rPr>
                <w:rFonts w:ascii="Times New Roman" w:hAnsi="Times New Roman"/>
                <w:sz w:val="20"/>
              </w:rPr>
              <w:t>0</w:t>
            </w:r>
          </w:p>
        </w:tc>
        <w:tc>
          <w:tcPr>
            <w:tcW w:type="dxa" w:w="3118"/>
          </w:tcPr>
          <w:p>
            <w:pPr>
              <w:jc w:val="center"/>
            </w:pPr>
            <w:r>
              <w:rPr>
                <w:rFonts w:ascii="Times New Roman" w:hAnsi="Times New Roman"/>
                <w:sz w:val="20"/>
              </w:rPr>
              <w:t>Normal</w:t>
            </w:r>
          </w:p>
        </w:tc>
        <w:tc>
          <w:tcPr>
            <w:tcW w:type="dxa" w:w="4819"/>
          </w:tcPr>
          <w:p>
            <w:pPr>
              <w:jc w:val="center"/>
            </w:pPr>
            <w:r>
              <w:rPr>
                <w:rFonts w:ascii="Times New Roman" w:hAnsi="Times New Roman"/>
                <w:sz w:val="20"/>
              </w:rPr>
              <w:t>Operação regular do poço</w:t>
            </w:r>
          </w:p>
        </w:tc>
      </w:tr>
      <w:tr>
        <w:tc>
          <w:tcPr>
            <w:tcW w:type="dxa" w:w="1134"/>
          </w:tcPr>
          <w:p>
            <w:pPr>
              <w:jc w:val="center"/>
            </w:pPr>
            <w:r>
              <w:rPr>
                <w:rFonts w:ascii="Times New Roman" w:hAnsi="Times New Roman"/>
                <w:sz w:val="20"/>
              </w:rPr>
              <w:t>1</w:t>
            </w:r>
          </w:p>
        </w:tc>
        <w:tc>
          <w:tcPr>
            <w:tcW w:type="dxa" w:w="3118"/>
          </w:tcPr>
          <w:p>
            <w:pPr>
              <w:jc w:val="center"/>
            </w:pPr>
            <w:r>
              <w:rPr>
                <w:rFonts w:ascii="Times New Roman" w:hAnsi="Times New Roman"/>
                <w:sz w:val="20"/>
              </w:rPr>
              <w:t>Abertura Abrupta do BSW</w:t>
            </w:r>
          </w:p>
        </w:tc>
        <w:tc>
          <w:tcPr>
            <w:tcW w:type="dxa" w:w="4819"/>
          </w:tcPr>
          <w:p>
            <w:pPr>
              <w:jc w:val="center"/>
            </w:pPr>
            <w:r>
              <w:rPr>
                <w:rFonts w:ascii="Times New Roman" w:hAnsi="Times New Roman"/>
                <w:sz w:val="20"/>
              </w:rPr>
              <w:t>Aumento brusco na fração de água produzida</w:t>
            </w:r>
          </w:p>
        </w:tc>
      </w:tr>
      <w:tr>
        <w:tc>
          <w:tcPr>
            <w:tcW w:type="dxa" w:w="1134"/>
          </w:tcPr>
          <w:p>
            <w:pPr>
              <w:jc w:val="center"/>
            </w:pPr>
            <w:r>
              <w:rPr>
                <w:rFonts w:ascii="Times New Roman" w:hAnsi="Times New Roman"/>
                <w:sz w:val="20"/>
              </w:rPr>
              <w:t>2</w:t>
            </w:r>
          </w:p>
        </w:tc>
        <w:tc>
          <w:tcPr>
            <w:tcW w:type="dxa" w:w="3118"/>
          </w:tcPr>
          <w:p>
            <w:pPr>
              <w:jc w:val="center"/>
            </w:pPr>
            <w:r>
              <w:rPr>
                <w:rFonts w:ascii="Times New Roman" w:hAnsi="Times New Roman"/>
                <w:sz w:val="20"/>
              </w:rPr>
              <w:t>Fechamento da DHSV</w:t>
            </w:r>
          </w:p>
        </w:tc>
        <w:tc>
          <w:tcPr>
            <w:tcW w:type="dxa" w:w="4819"/>
          </w:tcPr>
          <w:p>
            <w:pPr>
              <w:jc w:val="center"/>
            </w:pPr>
            <w:r>
              <w:rPr>
                <w:rFonts w:ascii="Times New Roman" w:hAnsi="Times New Roman"/>
                <w:sz w:val="20"/>
              </w:rPr>
              <w:t>Fechamento indevido da válvula subsup. de seg.</w:t>
            </w:r>
          </w:p>
        </w:tc>
      </w:tr>
      <w:tr>
        <w:tc>
          <w:tcPr>
            <w:tcW w:type="dxa" w:w="1134"/>
          </w:tcPr>
          <w:p>
            <w:pPr>
              <w:jc w:val="center"/>
            </w:pPr>
            <w:r>
              <w:rPr>
                <w:rFonts w:ascii="Times New Roman" w:hAnsi="Times New Roman"/>
                <w:sz w:val="20"/>
              </w:rPr>
              <w:t>3</w:t>
            </w:r>
          </w:p>
        </w:tc>
        <w:tc>
          <w:tcPr>
            <w:tcW w:type="dxa" w:w="3118"/>
          </w:tcPr>
          <w:p>
            <w:pPr>
              <w:jc w:val="center"/>
            </w:pPr>
            <w:r>
              <w:rPr>
                <w:rFonts w:ascii="Times New Roman" w:hAnsi="Times New Roman"/>
                <w:sz w:val="20"/>
              </w:rPr>
              <w:t>Slugging Severo</w:t>
            </w:r>
          </w:p>
        </w:tc>
        <w:tc>
          <w:tcPr>
            <w:tcW w:type="dxa" w:w="4819"/>
          </w:tcPr>
          <w:p>
            <w:pPr>
              <w:jc w:val="center"/>
            </w:pPr>
            <w:r>
              <w:rPr>
                <w:rFonts w:ascii="Times New Roman" w:hAnsi="Times New Roman"/>
                <w:sz w:val="20"/>
              </w:rPr>
              <w:t>Escoamento intermitente severo no riser</w:t>
            </w:r>
          </w:p>
        </w:tc>
      </w:tr>
      <w:tr>
        <w:tc>
          <w:tcPr>
            <w:tcW w:type="dxa" w:w="1134"/>
          </w:tcPr>
          <w:p>
            <w:pPr>
              <w:jc w:val="center"/>
            </w:pPr>
            <w:r>
              <w:rPr>
                <w:rFonts w:ascii="Times New Roman" w:hAnsi="Times New Roman"/>
                <w:sz w:val="20"/>
              </w:rPr>
              <w:t>4</w:t>
            </w:r>
          </w:p>
        </w:tc>
        <w:tc>
          <w:tcPr>
            <w:tcW w:type="dxa" w:w="3118"/>
          </w:tcPr>
          <w:p>
            <w:pPr>
              <w:jc w:val="center"/>
            </w:pPr>
            <w:r>
              <w:rPr>
                <w:rFonts w:ascii="Times New Roman" w:hAnsi="Times New Roman"/>
                <w:sz w:val="20"/>
              </w:rPr>
              <w:t>Instabilidade de Fluxo</w:t>
            </w:r>
          </w:p>
        </w:tc>
        <w:tc>
          <w:tcPr>
            <w:tcW w:type="dxa" w:w="4819"/>
          </w:tcPr>
          <w:p>
            <w:pPr>
              <w:jc w:val="center"/>
            </w:pPr>
            <w:r>
              <w:rPr>
                <w:rFonts w:ascii="Times New Roman" w:hAnsi="Times New Roman"/>
                <w:sz w:val="20"/>
              </w:rPr>
              <w:t>Oscilações de pressão e vazão sem causa externa</w:t>
            </w:r>
          </w:p>
        </w:tc>
      </w:tr>
      <w:tr>
        <w:tc>
          <w:tcPr>
            <w:tcW w:type="dxa" w:w="1134"/>
          </w:tcPr>
          <w:p>
            <w:pPr>
              <w:jc w:val="center"/>
            </w:pPr>
            <w:r>
              <w:rPr>
                <w:rFonts w:ascii="Times New Roman" w:hAnsi="Times New Roman"/>
                <w:sz w:val="20"/>
              </w:rPr>
              <w:t>6</w:t>
            </w:r>
          </w:p>
        </w:tc>
        <w:tc>
          <w:tcPr>
            <w:tcW w:type="dxa" w:w="3118"/>
          </w:tcPr>
          <w:p>
            <w:pPr>
              <w:jc w:val="center"/>
            </w:pPr>
            <w:r>
              <w:rPr>
                <w:rFonts w:ascii="Times New Roman" w:hAnsi="Times New Roman"/>
                <w:sz w:val="20"/>
              </w:rPr>
              <w:t>Falha em Sensor Externo</w:t>
            </w:r>
          </w:p>
        </w:tc>
        <w:tc>
          <w:tcPr>
            <w:tcW w:type="dxa" w:w="4819"/>
          </w:tcPr>
          <w:p>
            <w:pPr>
              <w:jc w:val="center"/>
            </w:pPr>
            <w:r>
              <w:rPr>
                <w:rFonts w:ascii="Times New Roman" w:hAnsi="Times New Roman"/>
                <w:sz w:val="20"/>
              </w:rPr>
              <w:t>Leitura incorreta por sensor danificado</w:t>
            </w:r>
          </w:p>
        </w:tc>
      </w:tr>
      <w:tr>
        <w:tc>
          <w:tcPr>
            <w:tcW w:type="dxa" w:w="1134"/>
          </w:tcPr>
          <w:p>
            <w:pPr>
              <w:jc w:val="center"/>
            </w:pPr>
            <w:r>
              <w:rPr>
                <w:rFonts w:ascii="Times New Roman" w:hAnsi="Times New Roman"/>
                <w:sz w:val="20"/>
              </w:rPr>
              <w:t>7</w:t>
            </w:r>
          </w:p>
        </w:tc>
        <w:tc>
          <w:tcPr>
            <w:tcW w:type="dxa" w:w="3118"/>
          </w:tcPr>
          <w:p>
            <w:pPr>
              <w:jc w:val="center"/>
            </w:pPr>
            <w:r>
              <w:rPr>
                <w:rFonts w:ascii="Times New Roman" w:hAnsi="Times New Roman"/>
                <w:sz w:val="20"/>
              </w:rPr>
              <w:t>Perda Rápida de Produtividade</w:t>
            </w:r>
          </w:p>
        </w:tc>
        <w:tc>
          <w:tcPr>
            <w:tcW w:type="dxa" w:w="4819"/>
          </w:tcPr>
          <w:p>
            <w:pPr>
              <w:jc w:val="center"/>
            </w:pPr>
            <w:r>
              <w:rPr>
                <w:rFonts w:ascii="Times New Roman" w:hAnsi="Times New Roman"/>
                <w:sz w:val="20"/>
              </w:rPr>
              <w:t>Queda abrupta na produção do reservatório</w:t>
            </w:r>
          </w:p>
        </w:tc>
      </w:tr>
    </w:tbl>
    <w:p>
      <w:pPr>
        <w:spacing w:before="60" w:after="240" w:lineRule="auto" w:line="240"/>
        <w:jc w:val="center"/>
      </w:pPr>
      <w:r>
        <w:rPr>
          <w:rFonts w:ascii="Times New Roman" w:hAnsi="Times New Roman"/>
          <w:b w:val="0"/>
          <w:i/>
          <w:sz w:val="18"/>
          <w:u w:val="none"/>
        </w:rPr>
        <w:t>Fonte: Petrobras 3W dataset [3]. Adaptado pelo autor.</w:t>
      </w:r>
    </w:p>
    <w:p>
      <w:pPr>
        <w:spacing w:before="240" w:after="120" w:lineRule="auto" w:line="360"/>
        <w:jc w:val="left"/>
      </w:pPr>
      <w:r>
        <w:rPr>
          <w:rFonts w:ascii="Times New Roman" w:hAnsi="Times New Roman"/>
          <w:b/>
          <w:i w:val="0"/>
          <w:sz w:val="24"/>
          <w:u w:val="none"/>
        </w:rPr>
        <w:t>2.2 Pipeline de Dados — Arquitetura Medallion</w:t>
      </w:r>
    </w:p>
    <w:p>
      <w:pPr>
        <w:spacing w:before="0" w:after="120" w:lineRule="auto" w:line="360"/>
        <w:ind w:firstLine="709"/>
        <w:jc w:val="both"/>
      </w:pPr>
      <w:r>
        <w:rPr>
          <w:rFonts w:ascii="Times New Roman" w:hAnsi="Times New Roman"/>
          <w:b w:val="0"/>
          <w:i w:val="0"/>
          <w:sz w:val="24"/>
          <w:u w:val="none"/>
        </w:rPr>
        <w:t>O pré-processamento segue a arquitetura Medallion em três camadas, inspirada nas boas práticas de engenharia de dados para lakehouse [5]:</w:t>
      </w:r>
    </w:p>
    <w:p>
      <w:pPr>
        <w:spacing w:before="0" w:after="120" w:lineRule="auto" w:line="360"/>
        <w:ind w:left="709"/>
        <w:jc w:val="both"/>
      </w:pPr>
      <w:r>
        <w:rPr>
          <w:rFonts w:ascii="Times New Roman" w:hAnsi="Times New Roman"/>
          <w:b w:val="0"/>
          <w:i w:val="0"/>
          <w:sz w:val="24"/>
          <w:u w:val="none"/>
        </w:rPr>
        <w:t>Camada Bronze: os arquivos Parquet brutos são ingeridos com tipagem explícita e adição de metadados de origem (ID do poço, classe, timestamp de ingestão). Nenhuma transformação de conteúdo é aplicada, preservando a rastreabilidade dos dados originais.</w:t>
      </w:r>
    </w:p>
    <w:p>
      <w:pPr>
        <w:spacing w:before="0" w:after="120" w:lineRule="auto" w:line="360"/>
        <w:ind w:left="709"/>
        <w:jc w:val="both"/>
      </w:pPr>
      <w:r>
        <w:rPr>
          <w:rFonts w:ascii="Times New Roman" w:hAnsi="Times New Roman"/>
          <w:b w:val="0"/>
          <w:i w:val="0"/>
          <w:sz w:val="24"/>
          <w:u w:val="none"/>
        </w:rPr>
        <w:t>Camada Silver: aplica-se remoção de registros com nulos em sensores críticos (P-PDG, T-JUS-CKP), eliminação de duplicatas temporais e validação de ranges físicos (ex.: pressão negativa é descartada). O resultado é um dataset limpo e padronizado.</w:t>
      </w:r>
    </w:p>
    <w:p>
      <w:pPr>
        <w:spacing w:before="0" w:after="120" w:lineRule="auto" w:line="360"/>
        <w:ind w:left="709"/>
        <w:jc w:val="both"/>
      </w:pPr>
      <w:r>
        <w:rPr>
          <w:rFonts w:ascii="Times New Roman" w:hAnsi="Times New Roman"/>
          <w:b w:val="0"/>
          <w:i w:val="0"/>
          <w:sz w:val="24"/>
          <w:u w:val="none"/>
        </w:rPr>
        <w:t>Camada Gold: realiza a engenharia de features e a preparação final para o treinamento. Para cada sensor s e cada janela w ∈ {5, 10, 30}, são calculadas a média, desvio padrão, mínimo e máximo móveis (rolling statistics). Adicionalmente, são criadas features de defasagem temporal (lag) para os passos l ∈ {1, 3}. Todas as features são normalizadas com Z-score global (média e desvio calculados exclusivamente no conjunto de treino para evitar data leakage). A divisão é estratificada na proporção 70/15/15 (treino/validação/teste).</w:t>
      </w:r>
    </w:p>
    <w:p>
      <w:pPr>
        <w:spacing w:before="0" w:after="120" w:lineRule="auto" w:line="360"/>
        <w:ind w:firstLine="709"/>
        <w:jc w:val="both"/>
      </w:pPr>
      <w:r>
        <w:rPr>
          <w:rFonts w:ascii="Times New Roman" w:hAnsi="Times New Roman"/>
          <w:b w:val="0"/>
          <w:i w:val="0"/>
          <w:sz w:val="24"/>
          <w:u w:val="none"/>
        </w:rPr>
        <w:t>O processo de amostragem estratificada em chunks de 30.000 registros foi adotado para contornar viés temporal severo: amostrar sequencialmente as primeiras N linhas de séries temporais de longa duração resulta em conjuntos dominados pela classe Normal, inviabilizando o treinamento. A abordagem por chunks garante representatividade de todas as classes raras.</w:t>
      </w:r>
    </w:p>
    <w:p>
      <w:pPr>
        <w:spacing w:before="240" w:after="120" w:lineRule="auto" w:line="360"/>
        <w:jc w:val="left"/>
      </w:pPr>
      <w:r>
        <w:rPr>
          <w:rFonts w:ascii="Times New Roman" w:hAnsi="Times New Roman"/>
          <w:b/>
          <w:i w:val="0"/>
          <w:sz w:val="24"/>
          <w:u w:val="none"/>
        </w:rPr>
        <w:t>2.3 Modelos de Aprendizado de Máquina</w:t>
      </w:r>
    </w:p>
    <w:p>
      <w:pPr>
        <w:spacing w:before="0" w:after="120" w:lineRule="auto" w:line="360"/>
        <w:ind w:firstLine="709"/>
        <w:jc w:val="both"/>
      </w:pPr>
      <w:r>
        <w:rPr>
          <w:rFonts w:ascii="Times New Roman" w:hAnsi="Times New Roman"/>
          <w:b w:val="0"/>
          <w:i w:val="0"/>
          <w:sz w:val="24"/>
          <w:u w:val="none"/>
        </w:rPr>
        <w:t>Três classificadores ensemble foram treinados e avaliados:</w:t>
      </w:r>
    </w:p>
    <w:p>
      <w:pPr>
        <w:spacing w:before="0" w:after="120" w:lineRule="auto" w:line="360"/>
        <w:ind w:left="709"/>
        <w:jc w:val="both"/>
      </w:pPr>
      <w:r>
        <w:rPr>
          <w:rFonts w:ascii="Times New Roman" w:hAnsi="Times New Roman"/>
          <w:b w:val="0"/>
          <w:i w:val="0"/>
          <w:sz w:val="24"/>
          <w:u w:val="none"/>
        </w:rPr>
        <w:t>Random Forest (RF): floresta de 100 árvores com profundidade máxima de 20, utilizando class_weight='balanced' para compensar o desbalanceamento de classes. O critério de impureza é a entropia de Gini.</w:t>
      </w:r>
    </w:p>
    <w:p>
      <w:pPr>
        <w:spacing w:before="0" w:after="120" w:lineRule="auto" w:line="360"/>
        <w:ind w:left="709"/>
        <w:jc w:val="both"/>
      </w:pPr>
      <w:r>
        <w:rPr>
          <w:rFonts w:ascii="Times New Roman" w:hAnsi="Times New Roman"/>
          <w:b w:val="0"/>
          <w:i w:val="0"/>
          <w:sz w:val="24"/>
          <w:u w:val="none"/>
        </w:rPr>
        <w:t>XGBoost (XGB): gradient boosting com até 500 estimadores, taxa de aprendizado de 0,05 e profundidade máxima de 6. Os pesos por classe são definidos pelo inverso da frequência de cada classe no conjunto de treino. Early stopping é aplicado com paciência de 50 rodadas no conjunto de validação.</w:t>
      </w:r>
    </w:p>
    <w:p>
      <w:pPr>
        <w:spacing w:before="0" w:after="120" w:lineRule="auto" w:line="360"/>
        <w:ind w:left="709"/>
        <w:jc w:val="both"/>
      </w:pPr>
      <w:r>
        <w:rPr>
          <w:rFonts w:ascii="Times New Roman" w:hAnsi="Times New Roman"/>
          <w:b w:val="0"/>
          <w:i w:val="0"/>
          <w:sz w:val="24"/>
          <w:u w:val="none"/>
        </w:rPr>
        <w:t>LightGBM (LGB): implementação com crescimento leaf-wise de árvores, até 1.000 estimadores, taxa de aprendizado de 0,05 e num_leaves=31. A diretiva is_unbalance=True ajusta automaticamente os pesos das classes. Early stopping com paciência de 50 rodadas.</w:t>
      </w:r>
    </w:p>
    <w:p>
      <w:pPr>
        <w:spacing w:before="240" w:after="120" w:lineRule="auto" w:line="360"/>
        <w:jc w:val="left"/>
      </w:pPr>
      <w:r>
        <w:rPr>
          <w:rFonts w:ascii="Times New Roman" w:hAnsi="Times New Roman"/>
          <w:b/>
          <w:i w:val="0"/>
          <w:sz w:val="24"/>
          <w:u w:val="none"/>
        </w:rPr>
        <w:t>2.4 Threshold Tuning por Classe</w:t>
      </w:r>
    </w:p>
    <w:p>
      <w:pPr>
        <w:spacing w:before="0" w:after="120" w:lineRule="auto" w:line="360"/>
        <w:ind w:firstLine="709"/>
        <w:jc w:val="both"/>
      </w:pPr>
      <w:r>
        <w:rPr>
          <w:rFonts w:ascii="Times New Roman" w:hAnsi="Times New Roman"/>
          <w:b w:val="0"/>
          <w:i w:val="0"/>
          <w:sz w:val="24"/>
          <w:u w:val="none"/>
        </w:rPr>
        <w:t>Para cada modelo, após o treinamento, foi conduzido um grid search de thresholds individuais por classe. A regra de decisão é reformulada como: a classe predita é argmax(P(c) / threshold(c)), onde P(c) é a probabilidade estimada para a classe c. Os thresholds são otimizados no conjunto de validação para maximizar o F1-macro. O grid search avalia 50 valores uniformemente espaçados no intervalo [0,01; 0,99] para cada classe independentemente.</w:t>
      </w:r>
    </w:p>
    <w:p>
      <w:pPr>
        <w:spacing w:before="240" w:after="120" w:lineRule="auto" w:line="360"/>
        <w:jc w:val="left"/>
      </w:pPr>
      <w:r>
        <w:rPr>
          <w:rFonts w:ascii="Times New Roman" w:hAnsi="Times New Roman"/>
          <w:b/>
          <w:i w:val="0"/>
          <w:sz w:val="24"/>
          <w:u w:val="none"/>
        </w:rPr>
        <w:t>2.5 Análise de Interpretabilidade SHAP</w:t>
      </w:r>
    </w:p>
    <w:p>
      <w:pPr>
        <w:spacing w:before="0" w:after="120" w:lineRule="auto" w:line="360"/>
        <w:ind w:firstLine="709"/>
        <w:jc w:val="both"/>
      </w:pPr>
      <w:r>
        <w:rPr>
          <w:rFonts w:ascii="Times New Roman" w:hAnsi="Times New Roman"/>
          <w:b w:val="0"/>
          <w:i w:val="0"/>
          <w:sz w:val="24"/>
          <w:u w:val="none"/>
        </w:rPr>
        <w:t>A interpretabilidade do modelo LightGBM foi analisada com SHAP (SHapley Additive exPlanations) [6], utilizando o TreeExplainer. Para viabilizar o cálculo em conjuntos grandes, foi utilizada uma amostra estratificada de até 2.000 instâncias do conjunto de teste, garantindo representação de todas as classes, incluindo as raras (DHSV, Slugging Severo). Os outputs gerados incluem: gráfico beeswarm global (top-20 features), bar chart de importância média |SHAP| e mapas de calor sensor × classe.</w:t>
      </w:r>
    </w:p>
    <w:p>
      <w:pPr>
        <w:spacing w:before="240" w:after="120" w:lineRule="auto" w:line="360"/>
        <w:jc w:val="left"/>
      </w:pPr>
      <w:r>
        <w:rPr>
          <w:rFonts w:ascii="Times New Roman" w:hAnsi="Times New Roman"/>
          <w:b/>
          <w:i w:val="0"/>
          <w:sz w:val="24"/>
          <w:u w:val="none"/>
        </w:rPr>
        <w:t>2.6 Infraestrutura</w:t>
      </w:r>
    </w:p>
    <w:p>
      <w:pPr>
        <w:spacing w:before="0" w:after="120" w:lineRule="auto" w:line="360"/>
        <w:ind w:firstLine="709"/>
        <w:jc w:val="both"/>
      </w:pPr>
      <w:r>
        <w:rPr>
          <w:rFonts w:ascii="Times New Roman" w:hAnsi="Times New Roman"/>
          <w:b w:val="0"/>
          <w:i w:val="0"/>
          <w:sz w:val="24"/>
          <w:u w:val="none"/>
        </w:rPr>
        <w:t>O desenvolvimento local utilizou Docker Compose com PySpark/AWS Glue, Apache Airflow para orquestração, MinIO como S3 local e PostgreSQL para metadados. Os experimentos finais foram validados em instância AWS EC2 t3.large (2 vCPUs, 8 GB RAM) com 4 GB de swap adicional, replicando o ambiente de nuvem com buckets S3 reais nas camadas raw/bronze/silver/gold/models/logs.</w:t>
      </w:r>
    </w:p>
    <w:p>
      <w:pPr>
        <w:spacing w:before="240" w:after="120" w:lineRule="auto" w:line="360"/>
        <w:jc w:val="left"/>
      </w:pPr>
      <w:r>
        <w:rPr>
          <w:rFonts w:ascii="Times New Roman" w:hAnsi="Times New Roman"/>
          <w:b/>
          <w:i w:val="0"/>
          <w:sz w:val="24"/>
          <w:u w:val="none"/>
        </w:rPr>
        <w:t>3 RESULTADOS</w:t>
      </w:r>
    </w:p>
    <w:p>
      <w:pPr>
        <w:spacing w:before="240" w:after="120" w:lineRule="auto" w:line="360"/>
        <w:jc w:val="left"/>
      </w:pPr>
      <w:r>
        <w:rPr>
          <w:rFonts w:ascii="Times New Roman" w:hAnsi="Times New Roman"/>
          <w:b/>
          <w:i w:val="0"/>
          <w:sz w:val="24"/>
          <w:u w:val="none"/>
        </w:rPr>
        <w:t>3.1 Desempenho dos Modelos</w:t>
      </w:r>
    </w:p>
    <w:p>
      <w:pPr>
        <w:spacing w:before="0" w:after="120" w:lineRule="auto" w:line="360"/>
        <w:ind w:firstLine="709"/>
        <w:jc w:val="both"/>
      </w:pPr>
      <w:r>
        <w:rPr>
          <w:rFonts w:ascii="Times New Roman" w:hAnsi="Times New Roman"/>
          <w:b w:val="0"/>
          <w:i w:val="0"/>
          <w:sz w:val="24"/>
          <w:u w:val="none"/>
        </w:rPr>
        <w:t>A Tabela 2 apresenta as métricas de F1-macro, acurácia geral e F1 ponderado para os três modelos nos conjuntos de validação e teste, antes e após o threshold tuning. O LightGBM obteve desempenho superior em todas as métricas.</w:t>
      </w:r>
    </w:p>
    <w:p>
      <w:pPr>
        <w:spacing w:before="120" w:after="60" w:lineRule="auto" w:line="240"/>
        <w:jc w:val="center"/>
      </w:pPr>
      <w:r>
        <w:rPr>
          <w:rFonts w:ascii="Times New Roman" w:hAnsi="Times New Roman"/>
          <w:b w:val="0"/>
          <w:i/>
          <w:sz w:val="20"/>
          <w:u w:val="none"/>
        </w:rPr>
        <w:t>Tabela 2 — Comparação de desempenho dos modelos — escopo poços 001/002/006 (7 classes).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814"/>
            <w:shd w:val="clear" w:color="auto" w:fill="D9D9D9"/>
          </w:tcPr>
          <w:p>
            <w:pPr>
              <w:jc w:val="center"/>
            </w:pPr>
            <w:r>
              <w:rPr>
                <w:rFonts w:ascii="Times New Roman" w:hAnsi="Times New Roman"/>
                <w:b/>
                <w:sz w:val="20"/>
              </w:rPr>
              <w:t>Modelo</w:t>
            </w:r>
          </w:p>
        </w:tc>
        <w:tc>
          <w:tcPr>
            <w:tcW w:type="dxa" w:w="1417"/>
            <w:shd w:val="clear" w:color="auto" w:fill="D9D9D9"/>
          </w:tcPr>
          <w:p>
            <w:pPr>
              <w:jc w:val="center"/>
            </w:pPr>
            <w:r>
              <w:rPr>
                <w:rFonts w:ascii="Times New Roman" w:hAnsi="Times New Roman"/>
                <w:b/>
                <w:sz w:val="20"/>
              </w:rPr>
              <w:t>F1-macro Val</w:t>
            </w:r>
          </w:p>
        </w:tc>
        <w:tc>
          <w:tcPr>
            <w:tcW w:type="dxa" w:w="1587"/>
            <w:shd w:val="clear" w:color="auto" w:fill="D9D9D9"/>
          </w:tcPr>
          <w:p>
            <w:pPr>
              <w:jc w:val="center"/>
            </w:pPr>
            <w:r>
              <w:rPr>
                <w:rFonts w:ascii="Times New Roman" w:hAnsi="Times New Roman"/>
                <w:b/>
                <w:sz w:val="20"/>
              </w:rPr>
              <w:t>F1-macro Teste</w:t>
            </w:r>
          </w:p>
        </w:tc>
        <w:tc>
          <w:tcPr>
            <w:tcW w:type="dxa" w:w="1587"/>
            <w:shd w:val="clear" w:color="auto" w:fill="D9D9D9"/>
          </w:tcPr>
          <w:p>
            <w:pPr>
              <w:jc w:val="center"/>
            </w:pPr>
            <w:r>
              <w:rPr>
                <w:rFonts w:ascii="Times New Roman" w:hAnsi="Times New Roman"/>
                <w:b/>
                <w:sz w:val="20"/>
              </w:rPr>
              <w:t>Acurácia Teste</w:t>
            </w:r>
          </w:p>
        </w:tc>
        <w:tc>
          <w:tcPr>
            <w:tcW w:type="dxa" w:w="1587"/>
            <w:shd w:val="clear" w:color="auto" w:fill="D9D9D9"/>
          </w:tcPr>
          <w:p>
            <w:pPr>
              <w:jc w:val="center"/>
            </w:pPr>
            <w:r>
              <w:rPr>
                <w:rFonts w:ascii="Times New Roman" w:hAnsi="Times New Roman"/>
                <w:b/>
                <w:sz w:val="20"/>
              </w:rPr>
              <w:t>F1-pond. Teste</w:t>
            </w:r>
          </w:p>
        </w:tc>
        <w:tc>
          <w:tcPr>
            <w:tcW w:type="dxa" w:w="2211"/>
            <w:shd w:val="clear" w:color="auto" w:fill="D9D9D9"/>
          </w:tcPr>
          <w:p>
            <w:pPr>
              <w:jc w:val="center"/>
            </w:pPr>
            <w:r>
              <w:rPr>
                <w:rFonts w:ascii="Times New Roman" w:hAnsi="Times New Roman"/>
                <w:b/>
                <w:sz w:val="20"/>
              </w:rPr>
              <w:t>Threshold Tuning</w:t>
            </w:r>
          </w:p>
        </w:tc>
      </w:tr>
      <w:tr>
        <w:tc>
          <w:tcPr>
            <w:tcW w:type="dxa" w:w="1814"/>
          </w:tcPr>
          <w:p>
            <w:pPr>
              <w:jc w:val="center"/>
            </w:pPr>
            <w:r>
              <w:rPr>
                <w:rFonts w:ascii="Times New Roman" w:hAnsi="Times New Roman"/>
                <w:sz w:val="20"/>
              </w:rPr>
              <w:t>Random Forest</w:t>
            </w:r>
          </w:p>
        </w:tc>
        <w:tc>
          <w:tcPr>
            <w:tcW w:type="dxa" w:w="1417"/>
          </w:tcPr>
          <w:p>
            <w:pPr>
              <w:jc w:val="center"/>
            </w:pPr>
            <w:r>
              <w:rPr>
                <w:rFonts w:ascii="Times New Roman" w:hAnsi="Times New Roman"/>
                <w:sz w:val="20"/>
              </w:rPr>
              <w:t>80,0%</w:t>
            </w:r>
          </w:p>
        </w:tc>
        <w:tc>
          <w:tcPr>
            <w:tcW w:type="dxa" w:w="1587"/>
          </w:tcPr>
          <w:p>
            <w:pPr>
              <w:jc w:val="center"/>
            </w:pPr>
            <w:r>
              <w:rPr>
                <w:rFonts w:ascii="Times New Roman" w:hAnsi="Times New Roman"/>
                <w:sz w:val="20"/>
              </w:rPr>
              <w:t>81,0%</w:t>
            </w:r>
          </w:p>
        </w:tc>
        <w:tc>
          <w:tcPr>
            <w:tcW w:type="dxa" w:w="1587"/>
          </w:tcPr>
          <w:p>
            <w:pPr>
              <w:jc w:val="center"/>
            </w:pPr>
            <w:r>
              <w:rPr>
                <w:rFonts w:ascii="Times New Roman" w:hAnsi="Times New Roman"/>
                <w:sz w:val="20"/>
              </w:rPr>
              <w:t>97,9%</w:t>
            </w:r>
          </w:p>
        </w:tc>
        <w:tc>
          <w:tcPr>
            <w:tcW w:type="dxa" w:w="1587"/>
          </w:tcPr>
          <w:p>
            <w:pPr>
              <w:jc w:val="center"/>
            </w:pPr>
            <w:r>
              <w:rPr>
                <w:rFonts w:ascii="Times New Roman" w:hAnsi="Times New Roman"/>
                <w:sz w:val="20"/>
              </w:rPr>
              <w:t>98,2%</w:t>
            </w:r>
          </w:p>
        </w:tc>
        <w:tc>
          <w:tcPr>
            <w:tcW w:type="dxa" w:w="2211"/>
          </w:tcPr>
          <w:p>
            <w:pPr>
              <w:jc w:val="center"/>
            </w:pPr>
            <w:r>
              <w:rPr>
                <w:rFonts w:ascii="Times New Roman" w:hAnsi="Times New Roman"/>
                <w:sz w:val="20"/>
              </w:rPr>
              <w:t>89,4% (+8,4 pp)</w:t>
            </w:r>
          </w:p>
        </w:tc>
      </w:tr>
      <w:tr>
        <w:tc>
          <w:tcPr>
            <w:tcW w:type="dxa" w:w="1814"/>
          </w:tcPr>
          <w:p>
            <w:pPr>
              <w:jc w:val="center"/>
            </w:pPr>
            <w:r>
              <w:rPr>
                <w:rFonts w:ascii="Times New Roman" w:hAnsi="Times New Roman"/>
                <w:sz w:val="20"/>
              </w:rPr>
              <w:t>XGBoost</w:t>
            </w:r>
          </w:p>
        </w:tc>
        <w:tc>
          <w:tcPr>
            <w:tcW w:type="dxa" w:w="1417"/>
          </w:tcPr>
          <w:p>
            <w:pPr>
              <w:jc w:val="center"/>
            </w:pPr>
            <w:r>
              <w:rPr>
                <w:rFonts w:ascii="Times New Roman" w:hAnsi="Times New Roman"/>
                <w:sz w:val="20"/>
              </w:rPr>
              <w:t>82,7%</w:t>
            </w:r>
          </w:p>
        </w:tc>
        <w:tc>
          <w:tcPr>
            <w:tcW w:type="dxa" w:w="1587"/>
          </w:tcPr>
          <w:p>
            <w:pPr>
              <w:jc w:val="center"/>
            </w:pPr>
            <w:r>
              <w:rPr>
                <w:rFonts w:ascii="Times New Roman" w:hAnsi="Times New Roman"/>
                <w:sz w:val="20"/>
              </w:rPr>
              <w:t>83,4%</w:t>
            </w:r>
          </w:p>
        </w:tc>
        <w:tc>
          <w:tcPr>
            <w:tcW w:type="dxa" w:w="1587"/>
          </w:tcPr>
          <w:p>
            <w:pPr>
              <w:jc w:val="center"/>
            </w:pPr>
            <w:r>
              <w:rPr>
                <w:rFonts w:ascii="Times New Roman" w:hAnsi="Times New Roman"/>
                <w:sz w:val="20"/>
              </w:rPr>
              <w:t>98,3%</w:t>
            </w:r>
          </w:p>
        </w:tc>
        <w:tc>
          <w:tcPr>
            <w:tcW w:type="dxa" w:w="1587"/>
          </w:tcPr>
          <w:p>
            <w:pPr>
              <w:jc w:val="center"/>
            </w:pPr>
            <w:r>
              <w:rPr>
                <w:rFonts w:ascii="Times New Roman" w:hAnsi="Times New Roman"/>
                <w:sz w:val="20"/>
              </w:rPr>
              <w:t>98,5%</w:t>
            </w:r>
          </w:p>
        </w:tc>
        <w:tc>
          <w:tcPr>
            <w:tcW w:type="dxa" w:w="2211"/>
          </w:tcPr>
          <w:p>
            <w:pPr>
              <w:jc w:val="center"/>
            </w:pPr>
            <w:r>
              <w:rPr>
                <w:rFonts w:ascii="Times New Roman" w:hAnsi="Times New Roman"/>
                <w:sz w:val="20"/>
              </w:rPr>
              <w:t>93,2% (+9,7 pp)</w:t>
            </w:r>
          </w:p>
        </w:tc>
      </w:tr>
      <w:tr>
        <w:tc>
          <w:tcPr>
            <w:tcW w:type="dxa" w:w="1814"/>
          </w:tcPr>
          <w:p>
            <w:pPr>
              <w:jc w:val="center"/>
            </w:pPr>
            <w:r>
              <w:rPr>
                <w:rFonts w:ascii="Times New Roman" w:hAnsi="Times New Roman"/>
                <w:sz w:val="20"/>
              </w:rPr>
              <w:t>LightGBM</w:t>
            </w:r>
          </w:p>
        </w:tc>
        <w:tc>
          <w:tcPr>
            <w:tcW w:type="dxa" w:w="1417"/>
          </w:tcPr>
          <w:p>
            <w:pPr>
              <w:jc w:val="center"/>
            </w:pPr>
            <w:r>
              <w:rPr>
                <w:rFonts w:ascii="Times New Roman" w:hAnsi="Times New Roman"/>
                <w:sz w:val="20"/>
              </w:rPr>
              <w:t>92,7%</w:t>
            </w:r>
          </w:p>
        </w:tc>
        <w:tc>
          <w:tcPr>
            <w:tcW w:type="dxa" w:w="1587"/>
          </w:tcPr>
          <w:p>
            <w:pPr>
              <w:jc w:val="center"/>
            </w:pPr>
            <w:r>
              <w:rPr>
                <w:rFonts w:ascii="Times New Roman" w:hAnsi="Times New Roman"/>
                <w:sz w:val="20"/>
              </w:rPr>
              <w:t>96,7%*</w:t>
            </w:r>
          </w:p>
        </w:tc>
        <w:tc>
          <w:tcPr>
            <w:tcW w:type="dxa" w:w="1587"/>
          </w:tcPr>
          <w:p>
            <w:pPr>
              <w:jc w:val="center"/>
            </w:pPr>
            <w:r>
              <w:rPr>
                <w:rFonts w:ascii="Times New Roman" w:hAnsi="Times New Roman"/>
                <w:sz w:val="20"/>
              </w:rPr>
              <w:t>99,6%</w:t>
            </w:r>
          </w:p>
        </w:tc>
        <w:tc>
          <w:tcPr>
            <w:tcW w:type="dxa" w:w="1587"/>
          </w:tcPr>
          <w:p>
            <w:pPr>
              <w:jc w:val="center"/>
            </w:pPr>
            <w:r>
              <w:rPr>
                <w:rFonts w:ascii="Times New Roman" w:hAnsi="Times New Roman"/>
                <w:sz w:val="20"/>
              </w:rPr>
              <w:t>99,6%</w:t>
            </w:r>
          </w:p>
        </w:tc>
        <w:tc>
          <w:tcPr>
            <w:tcW w:type="dxa" w:w="2211"/>
          </w:tcPr>
          <w:p>
            <w:pPr>
              <w:jc w:val="center"/>
            </w:pPr>
            <w:r>
              <w:rPr>
                <w:rFonts w:ascii="Times New Roman" w:hAnsi="Times New Roman"/>
                <w:sz w:val="20"/>
              </w:rPr>
              <w:t>96,4% (-0,3 pp)</w:t>
            </w:r>
          </w:p>
        </w:tc>
      </w:tr>
    </w:tbl>
    <w:p>
      <w:pPr>
        <w:spacing w:before="60" w:after="240" w:lineRule="auto" w:line="240"/>
        <w:jc w:val="center"/>
      </w:pPr>
      <w:r>
        <w:rPr>
          <w:rFonts w:ascii="Times New Roman" w:hAnsi="Times New Roman"/>
          <w:b w:val="0"/>
          <w:i/>
          <w:sz w:val="18"/>
          <w:u w:val="none"/>
        </w:rPr>
        <w:t>* F1-macro do LGB avaliado no conjunto de teste completo (1,38M amostras) via tune_thresholds.py; o valor do script de treino (amostra estratificada) foi 91,9%. Todos os modelos treinados no mesmo volume de dados (500k amostras, chunked sampling estratificado). Fonte: experimentos do autor.</w:t>
      </w:r>
    </w:p>
    <w:p>
      <w:pPr>
        <w:spacing w:before="0" w:after="120" w:lineRule="auto" w:line="360"/>
        <w:ind w:firstLine="709"/>
        <w:jc w:val="both"/>
      </w:pPr>
      <w:r>
        <w:rPr>
          <w:rFonts w:ascii="Times New Roman" w:hAnsi="Times New Roman"/>
          <w:b w:val="0"/>
          <w:i w:val="0"/>
          <w:sz w:val="24"/>
          <w:u w:val="none"/>
        </w:rPr>
        <w:t>O threshold tuning gerou ganhos expressivos nos três modelos. O RF passou de 81,0% para 89,4% (+8,4 pp); o XGB, de 83,4% para 93,2% (+9,7 pp); o LGB não se beneficiou do tuning (96,7% → 96,4%, -0,3 pp), pois seus thresholds ótimos já convergiam para valores próximos ao padrão (0,01–0,03), indicando que o modelo base estava bem calibrado. Para RF e XGB, os thresholds das classes raras DHSV Closure e Slugging Severo foram reduzidos significativamente (0,21 e 0,31, respectivamente), aumentando a sensibilidade a eventos críticos de segurança.</w:t>
      </w:r>
    </w:p>
    <w:p>
      <w:pPr>
        <w:spacing w:before="0" w:after="120" w:lineRule="auto" w:line="360"/>
        <w:ind w:firstLine="709"/>
        <w:jc w:val="both"/>
      </w:pPr>
      <w:r>
        <w:rPr>
          <w:rFonts w:ascii="Times New Roman" w:hAnsi="Times New Roman"/>
          <w:b w:val="0"/>
          <w:i w:val="0"/>
          <w:sz w:val="24"/>
          <w:u w:val="none"/>
        </w:rPr>
        <w:t>A acurácia geral elevada (&gt;98% em todos os modelos) reflete o forte desbalanceamento do dataset, no qual a classe Normal representa a grande maioria das observações. Por isso, o F1-macro é a métrica primária, pois trata igualmente todas as classes independentemente de sua frequência.</w:t>
      </w:r>
    </w:p>
    <w:p>
      <w:pPr>
        <w:spacing w:before="240" w:after="120" w:lineRule="auto" w:line="360"/>
        <w:jc w:val="left"/>
      </w:pPr>
      <w:r>
        <w:rPr>
          <w:rFonts w:ascii="Times New Roman" w:hAnsi="Times New Roman"/>
          <w:b/>
          <w:i w:val="0"/>
          <w:sz w:val="24"/>
          <w:u w:val="none"/>
        </w:rPr>
        <w:t>3.2 Análise SHAP — Importância das Features</w:t>
      </w:r>
    </w:p>
    <w:p>
      <w:pPr>
        <w:spacing w:before="0" w:after="120" w:lineRule="auto" w:line="360"/>
        <w:ind w:firstLine="709"/>
        <w:jc w:val="both"/>
      </w:pPr>
      <w:r>
        <w:rPr>
          <w:rFonts w:ascii="Times New Roman" w:hAnsi="Times New Roman"/>
          <w:b w:val="0"/>
          <w:i w:val="0"/>
          <w:sz w:val="24"/>
          <w:u w:val="none"/>
        </w:rPr>
        <w:t>A análise SHAP do modelo LightGBM revelou que as cinco features mais importantes (por valor médio |SHAP|) são todas derivadas do sensor T-JUS-CKP (temperatura a jusante da válvula choke): T_JUS_CKP_roll_min_30, T_JUS_CKP_roll_mean_5, T_JUS_CKP_roll_std_30, T_JUS_CKP_roll_std_10 e T_JUS_CKP_roll_mean_30.</w:t>
      </w:r>
    </w:p>
    <w:p>
      <w:pPr>
        <w:spacing w:before="0" w:after="120" w:lineRule="auto" w:line="360"/>
        <w:ind w:firstLine="709"/>
        <w:jc w:val="both"/>
      </w:pPr>
      <w:r>
        <w:rPr>
          <w:rFonts w:ascii="Times New Roman" w:hAnsi="Times New Roman"/>
          <w:b w:val="0"/>
          <w:i w:val="0"/>
          <w:sz w:val="24"/>
          <w:u w:val="none"/>
        </w:rPr>
        <w:t>O segundo sensor mais relevante é T-TPT (temperatura no sensor TPT), que aparece nas posições seguintes por meio de suas estatísticas de desvio padrão (T_TPT_roll_std_30, T_TPT_roll_std_10, T_TPT_roll_std_5). A relevância do desvio padrão temporal sugere que a variabilidade das temperaturas é um sinal mais discriminativo que os valores absolutos, o que é fisicamente consistente com a natureza dinâmica dos eventos de slugging e instabilidade de fluxo.</w:t>
      </w:r>
    </w:p>
    <w:p>
      <w:pPr>
        <w:spacing w:before="0" w:after="120" w:lineRule="auto" w:line="360"/>
        <w:ind w:firstLine="709"/>
        <w:jc w:val="both"/>
      </w:pPr>
      <w:r>
        <w:rPr>
          <w:rFonts w:ascii="Times New Roman" w:hAnsi="Times New Roman"/>
          <w:b w:val="0"/>
          <w:i w:val="0"/>
          <w:sz w:val="24"/>
          <w:u w:val="none"/>
        </w:rPr>
        <w:t>A Tabela 3 resume a importância SHAP por sensor, agrupando todas as features derivadas de cada sensor original.</w:t>
      </w:r>
    </w:p>
    <w:p>
      <w:pPr>
        <w:spacing w:before="120" w:after="60" w:lineRule="auto" w:line="240"/>
        <w:jc w:val="center"/>
      </w:pPr>
      <w:r>
        <w:rPr>
          <w:rFonts w:ascii="Times New Roman" w:hAnsi="Times New Roman"/>
          <w:b w:val="0"/>
          <w:i/>
          <w:sz w:val="20"/>
          <w:u w:val="none"/>
        </w:rPr>
        <w:t>Tabela 3 — Importância SHAP agregada por sensor (modelo LightGBM).</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D9D9D9"/>
          </w:tcPr>
          <w:p>
            <w:pPr>
              <w:jc w:val="center"/>
            </w:pPr>
            <w:r>
              <w:rPr>
                <w:rFonts w:ascii="Times New Roman" w:hAnsi="Times New Roman"/>
                <w:b/>
                <w:sz w:val="20"/>
              </w:rPr>
              <w:t>Posto</w:t>
            </w:r>
          </w:p>
        </w:tc>
        <w:tc>
          <w:tcPr>
            <w:tcW w:type="dxa" w:w="5386"/>
            <w:shd w:val="clear" w:color="auto" w:fill="D9D9D9"/>
          </w:tcPr>
          <w:p>
            <w:pPr>
              <w:jc w:val="center"/>
            </w:pPr>
            <w:r>
              <w:rPr>
                <w:rFonts w:ascii="Times New Roman" w:hAnsi="Times New Roman"/>
                <w:b/>
                <w:sz w:val="20"/>
              </w:rPr>
              <w:t>Sensor</w:t>
            </w:r>
          </w:p>
        </w:tc>
        <w:tc>
          <w:tcPr>
            <w:tcW w:type="dxa" w:w="2835"/>
            <w:shd w:val="clear" w:color="auto" w:fill="D9D9D9"/>
          </w:tcPr>
          <w:p>
            <w:pPr>
              <w:jc w:val="center"/>
            </w:pPr>
            <w:r>
              <w:rPr>
                <w:rFonts w:ascii="Times New Roman" w:hAnsi="Times New Roman"/>
                <w:b/>
                <w:sz w:val="20"/>
              </w:rPr>
              <w:t>Importância SHAP Normalizada</w:t>
            </w:r>
          </w:p>
        </w:tc>
      </w:tr>
      <w:tr>
        <w:tc>
          <w:tcPr>
            <w:tcW w:type="dxa" w:w="850"/>
          </w:tcPr>
          <w:p>
            <w:pPr>
              <w:jc w:val="center"/>
            </w:pPr>
            <w:r>
              <w:rPr>
                <w:rFonts w:ascii="Times New Roman" w:hAnsi="Times New Roman"/>
                <w:sz w:val="20"/>
              </w:rPr>
              <w:t>1°</w:t>
            </w:r>
          </w:p>
        </w:tc>
        <w:tc>
          <w:tcPr>
            <w:tcW w:type="dxa" w:w="5386"/>
          </w:tcPr>
          <w:p>
            <w:pPr>
              <w:jc w:val="center"/>
            </w:pPr>
            <w:r>
              <w:rPr>
                <w:rFonts w:ascii="Times New Roman" w:hAnsi="Times New Roman"/>
                <w:sz w:val="20"/>
              </w:rPr>
              <w:t>T-JUS-CKP (temperatura a jusante da válvula choke)</w:t>
            </w:r>
          </w:p>
        </w:tc>
        <w:tc>
          <w:tcPr>
            <w:tcW w:type="dxa" w:w="2835"/>
          </w:tcPr>
          <w:p>
            <w:pPr>
              <w:jc w:val="center"/>
            </w:pPr>
            <w:r>
              <w:rPr>
                <w:rFonts w:ascii="Times New Roman" w:hAnsi="Times New Roman"/>
                <w:sz w:val="20"/>
              </w:rPr>
              <w:t>42,3%</w:t>
            </w:r>
          </w:p>
        </w:tc>
      </w:tr>
      <w:tr>
        <w:tc>
          <w:tcPr>
            <w:tcW w:type="dxa" w:w="850"/>
          </w:tcPr>
          <w:p>
            <w:pPr>
              <w:jc w:val="center"/>
            </w:pPr>
            <w:r>
              <w:rPr>
                <w:rFonts w:ascii="Times New Roman" w:hAnsi="Times New Roman"/>
                <w:sz w:val="20"/>
              </w:rPr>
              <w:t>2°</w:t>
            </w:r>
          </w:p>
        </w:tc>
        <w:tc>
          <w:tcPr>
            <w:tcW w:type="dxa" w:w="5386"/>
          </w:tcPr>
          <w:p>
            <w:pPr>
              <w:jc w:val="center"/>
            </w:pPr>
            <w:r>
              <w:rPr>
                <w:rFonts w:ascii="Times New Roman" w:hAnsi="Times New Roman"/>
                <w:sz w:val="20"/>
              </w:rPr>
              <w:t>T-TPT (temperatura no sensor TPT)</w:t>
            </w:r>
          </w:p>
        </w:tc>
        <w:tc>
          <w:tcPr>
            <w:tcW w:type="dxa" w:w="2835"/>
          </w:tcPr>
          <w:p>
            <w:pPr>
              <w:jc w:val="center"/>
            </w:pPr>
            <w:r>
              <w:rPr>
                <w:rFonts w:ascii="Times New Roman" w:hAnsi="Times New Roman"/>
                <w:sz w:val="20"/>
              </w:rPr>
              <w:t>28,7%</w:t>
            </w:r>
          </w:p>
        </w:tc>
      </w:tr>
      <w:tr>
        <w:tc>
          <w:tcPr>
            <w:tcW w:type="dxa" w:w="850"/>
          </w:tcPr>
          <w:p>
            <w:pPr>
              <w:jc w:val="center"/>
            </w:pPr>
            <w:r>
              <w:rPr>
                <w:rFonts w:ascii="Times New Roman" w:hAnsi="Times New Roman"/>
                <w:sz w:val="20"/>
              </w:rPr>
              <w:t>3°</w:t>
            </w:r>
          </w:p>
        </w:tc>
        <w:tc>
          <w:tcPr>
            <w:tcW w:type="dxa" w:w="5386"/>
          </w:tcPr>
          <w:p>
            <w:pPr>
              <w:jc w:val="center"/>
            </w:pPr>
            <w:r>
              <w:rPr>
                <w:rFonts w:ascii="Times New Roman" w:hAnsi="Times New Roman"/>
                <w:sz w:val="20"/>
              </w:rPr>
              <w:t>P-PDG (pressão no PDG)</w:t>
            </w:r>
          </w:p>
        </w:tc>
        <w:tc>
          <w:tcPr>
            <w:tcW w:type="dxa" w:w="2835"/>
          </w:tcPr>
          <w:p>
            <w:pPr>
              <w:jc w:val="center"/>
            </w:pPr>
            <w:r>
              <w:rPr>
                <w:rFonts w:ascii="Times New Roman" w:hAnsi="Times New Roman"/>
                <w:sz w:val="20"/>
              </w:rPr>
              <w:t>11,4%</w:t>
            </w:r>
          </w:p>
        </w:tc>
      </w:tr>
      <w:tr>
        <w:tc>
          <w:tcPr>
            <w:tcW w:type="dxa" w:w="850"/>
          </w:tcPr>
          <w:p>
            <w:pPr>
              <w:jc w:val="center"/>
            </w:pPr>
            <w:r>
              <w:rPr>
                <w:rFonts w:ascii="Times New Roman" w:hAnsi="Times New Roman"/>
                <w:sz w:val="20"/>
              </w:rPr>
              <w:t>4°</w:t>
            </w:r>
          </w:p>
        </w:tc>
        <w:tc>
          <w:tcPr>
            <w:tcW w:type="dxa" w:w="5386"/>
          </w:tcPr>
          <w:p>
            <w:pPr>
              <w:jc w:val="center"/>
            </w:pPr>
            <w:r>
              <w:rPr>
                <w:rFonts w:ascii="Times New Roman" w:hAnsi="Times New Roman"/>
                <w:sz w:val="20"/>
              </w:rPr>
              <w:t>P-TPT (pressão no TPT)</w:t>
            </w:r>
          </w:p>
        </w:tc>
        <w:tc>
          <w:tcPr>
            <w:tcW w:type="dxa" w:w="2835"/>
          </w:tcPr>
          <w:p>
            <w:pPr>
              <w:jc w:val="center"/>
            </w:pPr>
            <w:r>
              <w:rPr>
                <w:rFonts w:ascii="Times New Roman" w:hAnsi="Times New Roman"/>
                <w:sz w:val="20"/>
              </w:rPr>
              <w:t>8,9%</w:t>
            </w:r>
          </w:p>
        </w:tc>
      </w:tr>
      <w:tr>
        <w:tc>
          <w:tcPr>
            <w:tcW w:type="dxa" w:w="850"/>
          </w:tcPr>
          <w:p>
            <w:pPr>
              <w:jc w:val="center"/>
            </w:pPr>
            <w:r>
              <w:rPr>
                <w:rFonts w:ascii="Times New Roman" w:hAnsi="Times New Roman"/>
                <w:sz w:val="20"/>
              </w:rPr>
              <w:t>5°</w:t>
            </w:r>
          </w:p>
        </w:tc>
        <w:tc>
          <w:tcPr>
            <w:tcW w:type="dxa" w:w="5386"/>
          </w:tcPr>
          <w:p>
            <w:pPr>
              <w:jc w:val="center"/>
            </w:pPr>
            <w:r>
              <w:rPr>
                <w:rFonts w:ascii="Times New Roman" w:hAnsi="Times New Roman"/>
                <w:sz w:val="20"/>
              </w:rPr>
              <w:t>P-MON-CKP (pressão a montante da válvula choke)</w:t>
            </w:r>
          </w:p>
        </w:tc>
        <w:tc>
          <w:tcPr>
            <w:tcW w:type="dxa" w:w="2835"/>
          </w:tcPr>
          <w:p>
            <w:pPr>
              <w:jc w:val="center"/>
            </w:pPr>
            <w:r>
              <w:rPr>
                <w:rFonts w:ascii="Times New Roman" w:hAnsi="Times New Roman"/>
                <w:sz w:val="20"/>
              </w:rPr>
              <w:t>5,2%</w:t>
            </w:r>
          </w:p>
        </w:tc>
      </w:tr>
      <w:tr>
        <w:tc>
          <w:tcPr>
            <w:tcW w:type="dxa" w:w="850"/>
          </w:tcPr>
          <w:p>
            <w:pPr>
              <w:jc w:val="center"/>
            </w:pPr>
            <w:r>
              <w:rPr>
                <w:rFonts w:ascii="Times New Roman" w:hAnsi="Times New Roman"/>
                <w:sz w:val="20"/>
              </w:rPr>
              <w:t>6°–8°</w:t>
            </w:r>
          </w:p>
        </w:tc>
        <w:tc>
          <w:tcPr>
            <w:tcW w:type="dxa" w:w="5386"/>
          </w:tcPr>
          <w:p>
            <w:pPr>
              <w:jc w:val="center"/>
            </w:pPr>
            <w:r>
              <w:rPr>
                <w:rFonts w:ascii="Times New Roman" w:hAnsi="Times New Roman"/>
                <w:sz w:val="20"/>
              </w:rPr>
              <w:t>P-JUS-CKGL, T-JUS-CKGL, QGL</w:t>
            </w:r>
          </w:p>
        </w:tc>
        <w:tc>
          <w:tcPr>
            <w:tcW w:type="dxa" w:w="2835"/>
          </w:tcPr>
          <w:p>
            <w:pPr>
              <w:jc w:val="center"/>
            </w:pPr>
            <w:r>
              <w:rPr>
                <w:rFonts w:ascii="Times New Roman" w:hAnsi="Times New Roman"/>
                <w:sz w:val="20"/>
              </w:rPr>
              <w:t>3,5%</w:t>
            </w:r>
          </w:p>
        </w:tc>
      </w:tr>
    </w:tbl>
    <w:p>
      <w:pPr>
        <w:spacing w:before="60" w:after="240" w:lineRule="auto" w:line="240"/>
        <w:jc w:val="center"/>
      </w:pPr>
      <w:r>
        <w:rPr>
          <w:rFonts w:ascii="Times New Roman" w:hAnsi="Times New Roman"/>
          <w:b w:val="0"/>
          <w:i/>
          <w:sz w:val="18"/>
          <w:u w:val="none"/>
        </w:rPr>
        <w:t>Fonte: análise SHAP TreeExplainer sobre amostra estratificada de 2.000 instâncias de teste.</w:t>
      </w:r>
    </w:p>
    <w:p>
      <w:pPr>
        <w:spacing w:before="240" w:after="120" w:lineRule="auto" w:line="360"/>
        <w:jc w:val="left"/>
      </w:pPr>
      <w:r>
        <w:rPr>
          <w:rFonts w:ascii="Times New Roman" w:hAnsi="Times New Roman"/>
          <w:b/>
          <w:i w:val="0"/>
          <w:sz w:val="24"/>
          <w:u w:val="none"/>
        </w:rPr>
        <w:t>4 DISCUSSÃO</w:t>
      </w:r>
    </w:p>
    <w:p>
      <w:pPr>
        <w:spacing w:before="0" w:after="120" w:lineRule="auto" w:line="360"/>
        <w:ind w:firstLine="709"/>
        <w:jc w:val="both"/>
      </w:pPr>
      <w:r>
        <w:rPr>
          <w:rFonts w:ascii="Times New Roman" w:hAnsi="Times New Roman"/>
          <w:b w:val="0"/>
          <w:i w:val="0"/>
          <w:sz w:val="24"/>
          <w:u w:val="none"/>
        </w:rPr>
        <w:t>O desempenho superior do LightGBM (F1-macro 96,7% no teste completo) em relação ao XGBoost (93,2% após tuning) e ao Random Forest (89,4% após tuning) está alinhado com a literatura recente sobre dados tabulares de alta dimensionalidade [7]. O crescimento leaf-wise do LightGBM — que prioriza nós com maior redução de perda, independentemente da profundidade — mostrou-se mais eficaz que a estratégia level-wise do XGBoost na modelagem das fronteiras de decisão complexas entre classes de eventos raros. Importa destacar que todos os modelos foram treinados no mesmo volume de dados (500k amostras via chunked sampling estratificado), garantindo comparação justa.</w:t>
      </w:r>
    </w:p>
    <w:p>
      <w:pPr>
        <w:spacing w:before="0" w:after="120" w:lineRule="auto" w:line="360"/>
        <w:ind w:firstLine="709"/>
        <w:jc w:val="both"/>
      </w:pPr>
      <w:r>
        <w:rPr>
          <w:rFonts w:ascii="Times New Roman" w:hAnsi="Times New Roman"/>
          <w:b w:val="0"/>
          <w:i w:val="0"/>
          <w:sz w:val="24"/>
          <w:u w:val="none"/>
        </w:rPr>
        <w:t>O maior desafio observado foi a classificação de eventos raros, especialmente DHSV Closure (classe 2) e Slugging Severo (classe 3), cujas amostras representam menos de 0,5% do volume total. A estratificação por chunks durante a amostragem foi fundamental: sem essa correção, o RF registrou F1-macro próximo de zero por treinar exclusivamente em registros da classe Normal (viés temporal). Após a correção, o F1-macro baseline do RF passou para 81,4%, evidenciando que a qualidade da amostragem tem impacto comparável ao da escolha do algoritmo.</w:t>
      </w:r>
    </w:p>
    <w:p>
      <w:pPr>
        <w:spacing w:before="0" w:after="120" w:lineRule="auto" w:line="360"/>
        <w:ind w:firstLine="709"/>
        <w:jc w:val="both"/>
      </w:pPr>
      <w:r>
        <w:rPr>
          <w:rFonts w:ascii="Times New Roman" w:hAnsi="Times New Roman"/>
          <w:b w:val="0"/>
          <w:i w:val="0"/>
          <w:sz w:val="24"/>
          <w:u w:val="none"/>
        </w:rPr>
        <w:t>O threshold tuning por classe demonstrou ganhos práticos sem necessidade de retreinamento. Ao reduzir o threshold da classe DHSV de 0,5 para aproximadamente 0,10, o modelo passou a classificar como DHSV qualquer amostra em que a probabilidade de DHSV excedesse 10% do limiar de outras classes, aumentando a sensibilidade para esse evento crítico de segurança. Essa técnica é especialmente valiosa em contextos industriais onde o custo de falso negativo (evento não detectado) é muito superior ao custo de falso positivo.</w:t>
      </w:r>
    </w:p>
    <w:p>
      <w:pPr>
        <w:spacing w:before="0" w:after="120" w:lineRule="auto" w:line="360"/>
        <w:ind w:firstLine="709"/>
        <w:jc w:val="both"/>
      </w:pPr>
      <w:r>
        <w:rPr>
          <w:rFonts w:ascii="Times New Roman" w:hAnsi="Times New Roman"/>
          <w:b w:val="0"/>
          <w:i w:val="0"/>
          <w:sz w:val="24"/>
          <w:u w:val="none"/>
        </w:rPr>
        <w:t>A análise SHAP revelou que T-JUS-CKP é o sensor mais informativo em todos os tipos de evento. Fisicamente, isso é coerente: a temperatura a jusante da válvula choke é diretamente afetada por mudanças no regime de escoamento, pela abertura da válvula (DHSV), pela entrada de água (BSW) e pela perda de produtividade do reservatório. Essa descoberta tem implicação prática: em cenários de manutenção preditiva com budget limitado de sensores, T-JUS-CKP deve ser priorizado.</w:t>
      </w:r>
    </w:p>
    <w:p>
      <w:pPr>
        <w:spacing w:before="0" w:after="120" w:lineRule="auto" w:line="360"/>
        <w:ind w:firstLine="709"/>
        <w:jc w:val="both"/>
      </w:pPr>
      <w:r>
        <w:rPr>
          <w:rFonts w:ascii="Times New Roman" w:hAnsi="Times New Roman"/>
          <w:b w:val="0"/>
          <w:i w:val="0"/>
          <w:sz w:val="24"/>
          <w:u w:val="none"/>
        </w:rPr>
        <w:t>O XGBoost com 500 rounds ainda atingiu o limite máximo de estimadores (best_iteration=500), indicando que o modelo não convergiu completamente. Experimentos com 1.000 rounds podem elevar ainda mais o F1-macro além dos 93,2% obtidos. Em contrapartida, o LightGBM não se beneficiou do threshold tuning (Δ = -0,3 pp), o que sugere que seus 500 rounds foram suficientes para calibração robusta das probabilidades, tornando o ajuste de thresholds desnecessário para esse modelo.</w:t>
      </w:r>
    </w:p>
    <w:p>
      <w:pPr>
        <w:spacing w:before="0" w:after="120" w:lineRule="auto" w:line="360"/>
        <w:ind w:firstLine="709"/>
        <w:jc w:val="both"/>
      </w:pPr>
      <w:r>
        <w:rPr>
          <w:rFonts w:ascii="Times New Roman" w:hAnsi="Times New Roman"/>
          <w:b w:val="0"/>
          <w:i w:val="0"/>
          <w:sz w:val="24"/>
          <w:u w:val="none"/>
        </w:rPr>
        <w:t>Comparativamente a trabalhos relacionados, Vargas et al. [4] reportaram acurácias acima de 95% com redes neurais LSTM no dataset 3W original, porém em cenários com menor número de classes e sem análise de interpretabilidade. O presente trabalho complementa esses resultados ao oferecer modelos mais rápidos de treinar, auditáveis via SHAP, e implantáveis em infraestrutura modesta (EC2 t3.large com 8 GB de RAM).</w:t>
      </w:r>
    </w:p>
    <w:p>
      <w:pPr>
        <w:spacing w:before="240" w:after="120" w:lineRule="auto" w:line="360"/>
        <w:jc w:val="left"/>
      </w:pPr>
      <w:r>
        <w:rPr>
          <w:rFonts w:ascii="Times New Roman" w:hAnsi="Times New Roman"/>
          <w:b/>
          <w:i w:val="0"/>
          <w:sz w:val="24"/>
          <w:u w:val="none"/>
        </w:rPr>
        <w:t>5 CONCLUSÃO</w:t>
      </w:r>
    </w:p>
    <w:p>
      <w:pPr>
        <w:spacing w:before="0" w:after="120" w:lineRule="auto" w:line="360"/>
        <w:ind w:firstLine="709"/>
        <w:jc w:val="both"/>
      </w:pPr>
      <w:r>
        <w:rPr>
          <w:rFonts w:ascii="Times New Roman" w:hAnsi="Times New Roman"/>
          <w:b w:val="0"/>
          <w:i w:val="0"/>
          <w:sz w:val="24"/>
          <w:u w:val="none"/>
        </w:rPr>
        <w:t>Este trabalho apresentou um pipeline completo e generalizável de aprendizado de máquina para detecção e classificação de eventos indesejáveis em processos industriais contínuos, validado como estudo de caso na operação de poços de petróleo offshore utilizando o dataset 3W da Petrobras com sete classes de eventos nos poços WELL-00001, WELL-00002 e WELL-00006.</w:t>
      </w:r>
    </w:p>
    <w:p>
      <w:pPr>
        <w:spacing w:before="0" w:after="120" w:lineRule="auto" w:line="360"/>
        <w:ind w:firstLine="709"/>
        <w:jc w:val="both"/>
      </w:pPr>
      <w:r>
        <w:rPr>
          <w:rFonts w:ascii="Times New Roman" w:hAnsi="Times New Roman"/>
          <w:b w:val="0"/>
          <w:i w:val="0"/>
          <w:sz w:val="24"/>
          <w:u w:val="none"/>
        </w:rPr>
        <w:t>Os principais resultados obtidos foram: (i) o LightGBM alcançou F1-macro de 96,7% no conjunto de teste completo, superando XGBoost (93,2% após tuning) e Random Forest (89,4% após tuning), em experimentos com dataset igualado (500k amostras, chunked sampling estratificado); (ii) a arquitetura Medallion com engenharia de features temporais (rolling statistics e lag features) mostrou-se eficaz para preparação industrial de séries temporais multivariadas; (iii) o threshold tuning gerou ganhos de +8,4 pp no RF e +9,7 pp no XGB sem retreinamento; e (iv) a análise SHAP identificou T-JUS-CKP como o sensor mais discriminativo, com importância agregada de 42,3%.</w:t>
      </w:r>
    </w:p>
    <w:p>
      <w:pPr>
        <w:spacing w:before="0" w:after="120" w:lineRule="auto" w:line="360"/>
        <w:ind w:firstLine="709"/>
        <w:jc w:val="both"/>
      </w:pPr>
      <w:r>
        <w:rPr>
          <w:rFonts w:ascii="Times New Roman" w:hAnsi="Times New Roman"/>
          <w:b w:val="0"/>
          <w:i w:val="0"/>
          <w:sz w:val="24"/>
          <w:u w:val="none"/>
        </w:rPr>
        <w:t>Como trabalhos futuros, destacam-se: (a) investigação de modelos sequenciais (LSTM, Transformer) capazes de capturar dependências temporais de longo prazo não contempladas pelas features rolling; (b) extensão do estudo para os demais poços do dataset 3W e validação cruzada entre diferentes poços; (c) implantação do pipeline em ambiente de produção com inferência em tempo real via API REST no AWS EC2; e (d) adaptação e validação da arquitetura proposta em outros domínios de plantas industriais de processo contínuo (refinarias, plantas petroquímicas, unidades de processamento de gás), avaliando a generalização do pipeline além do caso de uso offshore.</w:t>
      </w:r>
    </w:p>
    <w:p>
      <w:pPr>
        <w:spacing w:before="0" w:after="120" w:lineRule="auto" w:line="360"/>
        <w:ind w:firstLine="709"/>
        <w:jc w:val="both"/>
      </w:pPr>
      <w:r>
        <w:rPr>
          <w:rFonts w:ascii="Times New Roman" w:hAnsi="Times New Roman"/>
          <w:b w:val="0"/>
          <w:i w:val="0"/>
          <w:sz w:val="24"/>
          <w:u w:val="none"/>
        </w:rPr>
        <w:t>O código-fonte completo, os scripts de treinamento e os resultados dos modelos estão disponíveis publicamente em: github.com/AlanPinheiro19/projeto-3w-aws.</w:t>
      </w:r>
    </w:p>
    <w:p>
      <w:pPr>
        <w:spacing w:before="240" w:after="120" w:lineRule="auto" w:line="360"/>
        <w:jc w:val="left"/>
      </w:pPr>
      <w:r>
        <w:rPr>
          <w:rFonts w:ascii="Times New Roman" w:hAnsi="Times New Roman"/>
          <w:b/>
          <w:i w:val="0"/>
          <w:sz w:val="24"/>
          <w:u w:val="none"/>
        </w:rPr>
        <w:t>REFERÊNCIAS</w:t>
      </w:r>
    </w:p>
    <w:p>
      <w:pPr>
        <w:spacing w:before="0" w:after="80" w:lineRule="auto" w:line="240"/>
        <w:ind w:left="709" w:hanging="709"/>
        <w:jc w:val="both"/>
      </w:pPr>
      <w:r>
        <w:rPr>
          <w:rFonts w:ascii="Times New Roman" w:hAnsi="Times New Roman"/>
          <w:sz w:val="20"/>
        </w:rPr>
        <w:t>[1] AGÊNCIA NACIONAL DO PETRÓLEO, GÁS NATURAL E BIOCOMBUSTÍVEIS — ANP. Regulamento Técnico do Sistema de Gerenciamento da Segurança Operacional. Resolução ANP nº 43, de 25 de novembro de 2007. Rio de Janeiro: ANP, 2007.</w:t>
      </w:r>
    </w:p>
    <w:p>
      <w:pPr>
        <w:spacing w:before="0" w:after="80" w:lineRule="auto" w:line="240"/>
        <w:ind w:left="709" w:hanging="709"/>
        <w:jc w:val="both"/>
      </w:pPr>
      <w:r>
        <w:rPr>
          <w:rFonts w:ascii="Times New Roman" w:hAnsi="Times New Roman"/>
          <w:sz w:val="20"/>
        </w:rPr>
        <w:t>[2] VOSS, M. S.; HU, X. Decision tree-based ensemble methods for oil production anomaly detection. Journal of Petroleum Science and Engineering, v. 212, p. 110252, 2022. DOI: 10.1016/j.petrol.2022.110252.</w:t>
      </w:r>
    </w:p>
    <w:p>
      <w:pPr>
        <w:spacing w:before="0" w:after="80" w:lineRule="auto" w:line="240"/>
        <w:ind w:left="709" w:hanging="709"/>
        <w:jc w:val="both"/>
      </w:pPr>
      <w:r>
        <w:rPr>
          <w:rFonts w:ascii="Times New Roman" w:hAnsi="Times New Roman"/>
          <w:sz w:val="20"/>
        </w:rPr>
        <w:t>[3] VARGAS, R. E. V.; MUNARO, C. J.; CIARELLI, P. M.; MEDEIROS, A. G.; AMARAL, B. G.; BARRETO, D. C.; ARAÚJO, J. C. P.; RIBEIRO, A. C. R.; RAMOS, R. A. C. A realistic and public dataset with rare undesirable real events in oil wells. Journal of Petroleum Science and Engineering, v. 181, p. 106223, 2019. DOI: 10.1016/j.petrol.2019.106223.</w:t>
      </w:r>
    </w:p>
    <w:p>
      <w:pPr>
        <w:spacing w:before="0" w:after="80" w:lineRule="auto" w:line="240"/>
        <w:ind w:left="709" w:hanging="709"/>
        <w:jc w:val="both"/>
      </w:pPr>
      <w:r>
        <w:rPr>
          <w:rFonts w:ascii="Times New Roman" w:hAnsi="Times New Roman"/>
          <w:sz w:val="20"/>
        </w:rPr>
        <w:t>[4] VARGAS, R. E. V.; RIBEIRO, A. C. R.; BARRETO, D. C.; AMARAL, B. G. 3W: a Dataset and a Benchmark Challenge for Event Detection and Classification in Oil Wells — v2.0.0. Zenodo, 2022. DOI: 10.5281/zenodo.7615480.</w:t>
      </w:r>
    </w:p>
    <w:p>
      <w:pPr>
        <w:spacing w:before="0" w:after="80" w:lineRule="auto" w:line="240"/>
        <w:ind w:left="709" w:hanging="709"/>
        <w:jc w:val="both"/>
      </w:pPr>
      <w:r>
        <w:rPr>
          <w:rFonts w:ascii="Times New Roman" w:hAnsi="Times New Roman"/>
          <w:sz w:val="20"/>
        </w:rPr>
        <w:t>[5] DATABRICKS. The Medallion Architecture: Best Practices for Data Lake Reliability. Disponível em: https://www.databricks.com/glossary/medallion-architecture. Acesso em: jul. 2026.</w:t>
      </w:r>
    </w:p>
    <w:p>
      <w:pPr>
        <w:spacing w:before="0" w:after="80" w:lineRule="auto" w:line="240"/>
        <w:ind w:left="709" w:hanging="709"/>
        <w:jc w:val="both"/>
      </w:pPr>
      <w:r>
        <w:rPr>
          <w:rFonts w:ascii="Times New Roman" w:hAnsi="Times New Roman"/>
          <w:sz w:val="20"/>
        </w:rPr>
        <w:t>[6] LUNDBERG, S. M.; LEE, S. I. A unified approach to interpreting model predictions. In: ADVANCES IN NEURAL INFORMATION PROCESSING SYSTEMS, 30., 2017, Long Beach. Proceedings... Red Hook: Curran Associates, 2017. p. 4765–4774.</w:t>
      </w:r>
    </w:p>
    <w:p>
      <w:pPr>
        <w:spacing w:before="0" w:after="80" w:lineRule="auto" w:line="240"/>
        <w:ind w:left="709" w:hanging="709"/>
        <w:jc w:val="both"/>
      </w:pPr>
      <w:r>
        <w:rPr>
          <w:rFonts w:ascii="Times New Roman" w:hAnsi="Times New Roman"/>
          <w:sz w:val="20"/>
        </w:rPr>
        <w:t>[7] KE, G.; MENG, Q.; FINLEY, T.; WANG, T.; CHEN, W.; MA, W.; YE, Q.; LIU, T. LightGBM: A highly efficient gradient boosting decision tree. In: ADVANCES IN NEURAL INFORMATION PROCESSING SYSTEMS, 30., 2017, Long Beach. Proceedings... Red Hook: Curran Associates, 2017. p. 3146–3154.</w:t>
      </w:r>
    </w:p>
    <w:p>
      <w:pPr>
        <w:spacing w:before="0" w:after="80" w:lineRule="auto" w:line="240"/>
        <w:ind w:left="709" w:hanging="709"/>
        <w:jc w:val="both"/>
      </w:pPr>
      <w:r>
        <w:rPr>
          <w:rFonts w:ascii="Times New Roman" w:hAnsi="Times New Roman"/>
          <w:sz w:val="20"/>
        </w:rPr>
        <w:t>[8] CHEN, T.; GUESTRIN, C. XGBoost: A scalable tree boosting system. In: ACM SIGKDD INTERNATIONAL CONFERENCE ON KNOWLEDGE DISCOVERY AND DATA MINING, 22., 2016, San Francisco. Proceedings... New York: ACM, 2016. p. 785–794. DOI: 10.1145/2939672.2939785.</w:t>
      </w:r>
    </w:p>
    <w:p>
      <w:pPr>
        <w:spacing w:before="0" w:after="80" w:lineRule="auto" w:line="240"/>
        <w:ind w:left="709" w:hanging="709"/>
        <w:jc w:val="both"/>
      </w:pPr>
      <w:r>
        <w:rPr>
          <w:rFonts w:ascii="Times New Roman" w:hAnsi="Times New Roman"/>
          <w:sz w:val="20"/>
        </w:rPr>
        <w:t>[9] BREIMAN, L. Random Forests. Machine Learning, v. 45, n. 1, p. 5–32, 2001. DOI: 10.1023/A:1010933404324.</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