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240" w:lineRule="auto" w:after="200" w:before="0"/>
        <w:jc w:val="center"/>
      </w:pPr>
      <w:r>
        <w:rPr>
          <w:rFonts w:ascii="Arial" w:hAnsi="Arial" w:cs="Arial" w:eastAsia="Arial"/>
          <w:b/>
          <w:i w:val="0"/>
          <w:sz w:val="24"/>
        </w:rPr>
        <w:t>LOGÍSTICA DE ÚLTIMA MILLA EN REDES VIALES REALES: UN ENFOQUE REPRODUCIBLE PARA EL MDRP EN LA PAZ, B.C.S.</w:t>
      </w:r>
    </w:p>
    <w:p>
      <w:pPr>
        <w:spacing w:line="240" w:lineRule="auto" w:after="40" w:before="0"/>
        <w:jc w:val="center"/>
      </w:pPr>
      <w:r>
        <w:rPr>
          <w:rFonts w:ascii="Arial" w:hAnsi="Arial" w:cs="Arial" w:eastAsia="Arial"/>
          <w:b/>
          <w:i w:val="0"/>
          <w:sz w:val="22"/>
        </w:rPr>
        <w:t xml:space="preserve">1* </w:t>
      </w:r>
      <w:r>
        <w:rPr>
          <w:rFonts w:ascii="Arial" w:hAnsi="Arial" w:cs="Arial" w:eastAsia="Arial"/>
          <w:b w:val="0"/>
          <w:i w:val="0"/>
          <w:sz w:val="22"/>
        </w:rPr>
        <w:t>Alan José Marcos Sánchez Martínez, alansama2906@gmail.com</w:t>
      </w:r>
    </w:p>
    <w:p>
      <w:pPr>
        <w:spacing w:line="240" w:lineRule="auto" w:after="40" w:before="0"/>
        <w:jc w:val="center"/>
      </w:pPr>
      <w:r>
        <w:rPr>
          <w:rFonts w:ascii="Arial" w:hAnsi="Arial" w:cs="Arial" w:eastAsia="Arial"/>
          <w:b/>
          <w:i w:val="0"/>
          <w:sz w:val="18"/>
        </w:rPr>
        <w:t>*Autor para correspondencia</w:t>
      </w:r>
    </w:p>
    <w:p>
      <w:pPr>
        <w:spacing w:line="240" w:lineRule="auto" w:after="240" w:before="0"/>
        <w:jc w:val="center"/>
      </w:pPr>
      <w:r>
        <w:rPr>
          <w:rFonts w:ascii="Arial" w:hAnsi="Arial" w:cs="Arial" w:eastAsia="Arial"/>
          <w:b/>
          <w:i w:val="0"/>
          <w:sz w:val="20"/>
        </w:rPr>
        <w:t xml:space="preserve">1 </w:t>
      </w:r>
      <w:r>
        <w:rPr>
          <w:rFonts w:ascii="Arial" w:hAnsi="Arial" w:cs="Arial" w:eastAsia="Arial"/>
          <w:b w:val="0"/>
          <w:i w:val="0"/>
          <w:sz w:val="20"/>
        </w:rPr>
        <w:t>Instituto Tecnológico de La Paz, Tecnológico Nacional de México (TecNM) / Estudiante</w:t>
      </w:r>
    </w:p>
    <w:p>
      <w:pPr>
        <w:spacing w:line="240" w:lineRule="auto" w:after="160" w:before="0"/>
        <w:jc w:val="both"/>
      </w:pPr>
      <w:r>
        <w:rPr>
          <w:rFonts w:ascii="Arial" w:hAnsi="Arial" w:cs="Arial" w:eastAsia="Arial"/>
          <w:b/>
          <w:i w:val="0"/>
          <w:sz w:val="24"/>
        </w:rPr>
        <w:t xml:space="preserve">RESUMEN: </w:t>
      </w:r>
      <w:r>
        <w:rPr>
          <w:rFonts w:ascii="Arial" w:hAnsi="Arial" w:cs="Arial" w:eastAsia="Arial"/>
          <w:b w:val="0"/>
          <w:i w:val="0"/>
          <w:sz w:val="24"/>
        </w:rPr>
        <w:t>La entrega de última milla concentra entre el 30 % y el 60 % del costo de una operación logística y, en el segmento de comida preparada, se agrava por la urgencia y por una demanda que se revela en tiempo real. La mayoría de los estudios sobre el Meal Delivery Routing Problem evalúan sus políticas de despacho con distancias euclidianas, que subestiman los trayectos reales entre un 17 % y un 40 % y comprometen la validez de los tiempos prometidos al cliente. Este trabajo evalúa la eficiencia operativa de una política anticipatoria de horizonte rodante frente a una política reactiva First-Come, First-Served sobre la red vial real de La Paz, Baja California Sur. Se construyó un entorno de simulación de eventos discretos reproducible, basado exclusivamente en software libre (OpenStreetMap, OSRM y Docker), que sustituye la aproximación euclidiana por tiempos de viaje calculados sobre el grafo vial. La demanda se generó con un proceso de Poisson no homogéneo bimodal calibrado con el conjunto de datos LaDe, con aproximadamente 1 038 pedidos y 25 restaurantes, y ambas políticas se compararon de forma pareada en cuatro escenarios de saturación de flota con siete réplicas válidas, contrastadas mediante la prueba de Wilcoxon de rangos con signo a nivel de semilla. Los resultados revelan dos regímenes: con flota holgada la política reactiva entrega más rápido, pero a partir de la saturación media la anticipatoria reduce el Click-to-Door promedio hasta un 57.2 % y su percentil 90 hasta un 77.1 %, eleva el cumplimiento del objetivo de servicio en 17.1 puntos porcentuales y elimina los pedidos sin entregar. Se identifica un punto de cruce entre 26 y 35 pedidos por repartidor a partir del cual la anticipación supera a la reactiva.</w:t>
      </w:r>
    </w:p>
    <w:p>
      <w:pPr>
        <w:spacing w:line="240" w:lineRule="auto" w:after="160" w:before="0"/>
        <w:jc w:val="both"/>
      </w:pPr>
      <w:r>
        <w:rPr>
          <w:rFonts w:ascii="Arial" w:hAnsi="Arial" w:cs="Arial" w:eastAsia="Arial"/>
          <w:b/>
          <w:i w:val="0"/>
          <w:sz w:val="24"/>
        </w:rPr>
        <w:t xml:space="preserve">PALABRAS CLAVE: </w:t>
      </w:r>
      <w:r>
        <w:rPr>
          <w:rFonts w:ascii="Arial" w:hAnsi="Arial" w:cs="Arial" w:eastAsia="Arial"/>
          <w:b w:val="0"/>
          <w:i w:val="0"/>
          <w:sz w:val="24"/>
        </w:rPr>
        <w:t>agrupamiento, OpenStreetMap, ruteo, simulación.</w:t>
      </w:r>
    </w:p>
    <w:p>
      <w:pPr>
        <w:spacing w:line="240" w:lineRule="auto" w:after="160" w:before="0"/>
        <w:jc w:val="both"/>
      </w:pPr>
      <w:r>
        <w:rPr>
          <w:rFonts w:ascii="Arial" w:hAnsi="Arial" w:cs="Arial" w:eastAsia="Arial"/>
          <w:b/>
          <w:i w:val="0"/>
          <w:sz w:val="24"/>
        </w:rPr>
        <w:t xml:space="preserve">ABSTRACT: </w:t>
      </w:r>
      <w:r>
        <w:rPr>
          <w:rFonts w:ascii="Arial" w:hAnsi="Arial" w:cs="Arial" w:eastAsia="Arial"/>
          <w:b w:val="0"/>
          <w:i w:val="0"/>
          <w:sz w:val="24"/>
        </w:rPr>
        <w:t>Last-mile delivery accounts for 30 % to 60 % of the total cost of a logistics operation and, in the prepared-food segment, it is further strained by urgency and by demand that is revealed in real time. Most studies on the Meal Delivery Routing Problem evaluate dispatching policies using Euclidean distances, which underestimate real travel by 17 % to 40 % and undermine the validity of the delivery times promised to customers. This work evaluates the operational efficiency of an anticipatory rolling horizon policy against a reactive First-Come, First-Served policy on the real road network of La Paz, Baja California Sur. A reproducible discrete-event simulation environment was built exclusively with free and open-source software (OpenStreetMap, OSRM and Docker), replacing the Euclidean approximation with travel times computed over the road graph. Demand was generated with a bimodal non-homogeneous Poisson process calibrated with the LaDe dataset, comprising approximately 1,038 orders and 25 restaurants. Both policies were compared in a paired design across four fleet saturation scenarios with seven valid replications, tested with the seed-level Wilcoxon signed-rank test. Results reveal two operating regimes: with an ample fleet the reactive policy delivers faster, but from medium saturation onward the anticipatory policy reduces mean Click-to-Door time by up to 57.2 % and its 90th percentile by up to 77.1 %, raises service-level compliance by 17.1 percentage points and completely eliminates undelivered orders. A crossover point between 26 and 35 orders per courier is identified, beyond which anticipation outperforms reactive assignment, providing a practical criterion for fleet sizing in mid-sized cities with irregular topology.</w:t>
      </w:r>
    </w:p>
    <w:p>
      <w:pPr>
        <w:spacing w:line="240" w:lineRule="auto" w:after="240" w:before="0"/>
        <w:jc w:val="both"/>
      </w:pPr>
      <w:r>
        <w:rPr>
          <w:rFonts w:ascii="Arial" w:hAnsi="Arial" w:cs="Arial" w:eastAsia="Arial"/>
          <w:b/>
          <w:i w:val="0"/>
          <w:sz w:val="24"/>
        </w:rPr>
        <w:t xml:space="preserve">KEYWORDS: </w:t>
      </w:r>
      <w:r>
        <w:rPr>
          <w:rFonts w:ascii="Arial" w:hAnsi="Arial" w:cs="Arial" w:eastAsia="Arial"/>
          <w:b w:val="0"/>
          <w:i w:val="0"/>
          <w:sz w:val="24"/>
        </w:rPr>
        <w:t>bundling, OpenStreetMap, routing, simulation.</w:t>
      </w:r>
    </w:p>
    <w:p>
      <w:pPr>
        <w:keepNext/>
        <w:spacing w:line="240" w:lineRule="auto" w:after="80" w:before="140"/>
        <w:jc w:val="both"/>
      </w:pPr>
      <w:r>
        <w:rPr>
          <w:rFonts w:ascii="Arial" w:hAnsi="Arial" w:cs="Arial" w:eastAsia="Arial"/>
          <w:b/>
          <w:i w:val="0"/>
          <w:sz w:val="24"/>
        </w:rPr>
        <w:t>I. INTRODUCCIÓN</w:t>
      </w:r>
    </w:p>
    <w:p>
      <w:pPr>
        <w:spacing w:line="240" w:lineRule="auto" w:after="60" w:before="0"/>
        <w:jc w:val="both"/>
      </w:pPr>
      <w:r>
        <w:rPr>
          <w:rFonts w:ascii="Arial" w:hAnsi="Arial" w:cs="Arial" w:eastAsia="Arial"/>
          <w:b w:val="0"/>
          <w:i w:val="0"/>
          <w:sz w:val="24"/>
        </w:rPr>
        <w:t>La entrega de última milla —el segmento final que va desde el punto de origen hasta el domicilio del cliente— es el componente más costoso de la logística urbana: puede representar entre el 30 % y el 60 % del costo total de un envío (Jazemi et al., 2023). En el caso de la comida preparada resulta especialmente exigente por la urgencia de las ventanas de servicio, la perecibilidad del producto y una demanda impredecible que obliga a reoptimizar continuamente las asignaciones. El problema de enrutamiento de vehículos (VRP), formulado por Dantzig y Ramser (1959), ha evolucionado durante cinco décadas para incorporar capacidad, ventanas de tiempo y múltiples depósitos (Laporte, 2009); cuando la demanda se revela en tiempo real el problema se torna dinámico (Larsen, 2000; Pillac et al., 2013). Dentro de esta familia, Reyes et al. (2018) introdujeron el Meal Delivery Routing Problem (MDRP), que combina múltiples puntos de recolección, tiempos de preparación variables, alta urgencia y agrupamiento dinámico de pedidos. Yıldız y Savelsbergh (2019) mostraron que incluso instancias moderadas del MDRP resultan intratables para métodos exactos, lo que justifica recurrir a heurísticas de horizonte rodante.</w:t>
      </w:r>
    </w:p>
    <w:p>
      <w:pPr>
        <w:keepNext/>
        <w:spacing w:line="240" w:lineRule="auto" w:after="60" w:before="100"/>
        <w:jc w:val="both"/>
      </w:pPr>
      <w:r>
        <w:rPr>
          <w:rFonts w:ascii="Arial" w:hAnsi="Arial" w:cs="Arial" w:eastAsia="Arial"/>
          <w:b/>
          <w:i w:val="0"/>
          <w:sz w:val="24"/>
        </w:rPr>
        <w:t>Problemática: el costo oculto de la aproximación euclidiana</w:t>
      </w:r>
    </w:p>
    <w:p>
      <w:pPr>
        <w:spacing w:line="240" w:lineRule="auto" w:after="60" w:before="0"/>
        <w:jc w:val="both"/>
      </w:pPr>
      <w:r>
        <w:rPr>
          <w:rFonts w:ascii="Arial" w:hAnsi="Arial" w:cs="Arial" w:eastAsia="Arial"/>
          <w:b w:val="0"/>
          <w:i w:val="0"/>
          <w:sz w:val="24"/>
        </w:rPr>
        <w:t>Un problema transversal a esta literatura es cómo estimar los tiempos de viaje. Las plataformas comerciales ofrecen precisión, pero imponen costos de licenciamiento y operan como caja negra, lo que compromete la reproducibilidad de los experimentos (Pereira et al., 2021). La alternativa académica tradicional —la distancia euclidiana— es gratuita y reproducible, pero Boyacı et al. (2021) demostraron, sobre 96 instancias en 12 ciudades, que las rutas reales son entre un 17 % y un 40 % más largas que la línea recta. Esta distorsión no es un simple factor de escala: invalida las estimaciones de tiempo de arribo y puede producir planes infactibles, conclusión coherente con las mediciones de campo de Figliozzi (2007).</w:t>
      </w:r>
    </w:p>
    <w:p>
      <w:pPr>
        <w:spacing w:line="240" w:lineRule="auto" w:after="60" w:before="0"/>
        <w:jc w:val="both"/>
      </w:pPr>
      <w:r>
        <w:rPr>
          <w:rFonts w:ascii="Arial" w:hAnsi="Arial" w:cs="Arial" w:eastAsia="Arial"/>
          <w:b w:val="0"/>
          <w:i w:val="0"/>
          <w:sz w:val="24"/>
        </w:rPr>
        <w:t>La brecha se agudiza en ciudades medianas de topología irregular como La Paz, Baja California Sur, donde la ensenada obliga a rodeos extensos y la conectividad depende de pocas arterias estructurantes. Reyes et al. (2018) validaron sus políticas en instancias sintéticas de grandes urbes con alta conectividad y distancias euclidianas, por lo que se desconoce cuánto se degradan en un entorno de baja conectividad. A ello se suma una barrera económica: las pequeñas y medianas empresas de reparto carecen de presupuesto para servicios de enrutamiento comercial (Muñoz-Villamizar et al., 2021).</w:t>
      </w:r>
    </w:p>
    <w:p>
      <w:pPr>
        <w:spacing w:line="240" w:lineRule="auto" w:after="60" w:before="0"/>
        <w:jc w:val="both"/>
      </w:pPr>
      <w:r>
        <w:rPr>
          <w:rFonts w:ascii="Arial" w:hAnsi="Arial" w:cs="Arial" w:eastAsia="Arial"/>
          <w:b w:val="0"/>
          <w:i w:val="0"/>
          <w:sz w:val="24"/>
        </w:rPr>
        <w:t>De lo anterior surge la pregunta de investigación: ¿en qué medida una política de despacho anticipatoria supera a una reactiva cuando el MDRP se evalúa sobre la red vial real de una ciudad mediana de topología hostil? El objetivo general es evaluar la eficiencia operativa de la política de horizonte rodante frente a la estrategia reactiva First-Come, First-Served (FCFS) mediante un entorno de simulación reproducible que integre las restricciones topológicas reales de La Paz y patrones de demanda estocásticos. Los objetivos específicos son: (a) construir un entorno de simulación de eventos discretos basado exclusivamente en software libre que sustituya la distancia euclidiana por tiempos de viaje sobre el grafo vial; (b) implementar y comparar ambas políticas bajo idénticas instancias de demanda; (c) cuantificar las diferencias en calidad de servicio, eficiencia operativa y costo mediante pruebas estadísticas no paramétricas; y (d) identificar el régimen de saturación a partir del cual la anticipación resulta ventajosa. La hipótesis sostiene que la política anticipatoria, alimentada con tiempos de viaje reales, supera significativamente a la reactiva en eficiencia operativa y nivel de servicio, empleando únicamente software de código abierto.</w:t>
      </w:r>
    </w:p>
    <w:p>
      <w:pPr>
        <w:keepNext/>
        <w:spacing w:line="240" w:lineRule="auto" w:after="60" w:before="100"/>
        <w:jc w:val="both"/>
      </w:pPr>
      <w:r>
        <w:rPr>
          <w:rFonts w:ascii="Arial" w:hAnsi="Arial" w:cs="Arial" w:eastAsia="Arial"/>
          <w:b/>
          <w:i w:val="0"/>
          <w:sz w:val="24"/>
        </w:rPr>
        <w:t>Perspectiva teórica</w:t>
      </w:r>
    </w:p>
    <w:p>
      <w:pPr>
        <w:spacing w:line="240" w:lineRule="auto" w:after="60" w:before="0"/>
        <w:jc w:val="both"/>
      </w:pPr>
      <w:r>
        <w:rPr>
          <w:rFonts w:ascii="Arial" w:hAnsi="Arial" w:cs="Arial" w:eastAsia="Arial"/>
          <w:b w:val="0"/>
          <w:i w:val="0"/>
          <w:sz w:val="24"/>
        </w:rPr>
        <w:t>El MDRP (Reyes et al., 2018) se define sobre tres conjuntos: restaurantes con ubicación fija, órdenes y repartidores. Cada orden se caracteriza por su restaurante de origen, su instante de colocación, su ready time y su ubicación de entrega, y su información se revela al sistema solo al colocarse. Dos suposiciones son estructurales: el agrupamiento o bundling, por el cual órdenes de un mismo restaurante se combinan en una ruta con múltiples entregas cuyo ready time es el máximo de sus componentes, y la restricción de ready time, que impide recoger una orden antes de que la comida esté lista. La remuneración sigue un esquema de compensación mínima garantizada, donde n_c es el número de órdenes entregadas por el repartidor c, (l_c − e_c) la duración de su turno, p₁ el pago por orden y p₂ el pago mínimo por hora:</w:t>
      </w:r>
    </w:p>
    <w:p>
      <w:pPr>
        <w:spacing w:line="240" w:lineRule="auto" w:after="80" w:before="80"/>
        <w:jc w:val="center"/>
      </w:pPr>
      <w:r>
        <w:rPr>
          <w:rFonts w:ascii="Arial" w:hAnsi="Arial" w:cs="Arial" w:eastAsia="Arial"/>
          <w:b w:val="0"/>
          <w:i/>
          <w:sz w:val="24"/>
        </w:rPr>
        <w:t>Pago(c) = máx( p₁ · n_c ,  p₂ · (l_c − e_c) )        (1)</w:t>
      </w:r>
    </w:p>
    <w:p>
      <w:pPr>
        <w:spacing w:line="240" w:lineRule="auto" w:after="60" w:before="0"/>
        <w:jc w:val="both"/>
      </w:pPr>
      <w:r>
        <w:rPr>
          <w:rFonts w:ascii="Arial" w:hAnsi="Arial" w:cs="Arial" w:eastAsia="Arial"/>
          <w:b w:val="0"/>
          <w:i w:val="0"/>
          <w:sz w:val="24"/>
        </w:rPr>
        <w:t>Las métricas primarias son el Click-to-Door (CtD), tiempo entre la colocación del pedido y su entrega; el Ready-to-Pickup (RtP), tiempo que la comida permanece lista esperando al repartidor; la utilización del repartidor y el costo por pedido. La heurística de horizonte rodante ejecuta cada f minutos un ciclo de agrupamiento, asignación y compromiso sobre las órdenes cuyo ready time cae dentro de un horizonte Δu. Para equilibrar la utilización de la flota con la frescura de las entregas, el tamaño objetivo de agrupamiento se define como la razón entre las órdenes próximas a estar listas y los repartidores próximos a quedar disponibles:</w:t>
      </w:r>
    </w:p>
    <w:p>
      <w:pPr>
        <w:spacing w:line="240" w:lineRule="auto" w:after="80" w:before="80"/>
        <w:jc w:val="center"/>
      </w:pPr>
      <w:r>
        <w:rPr>
          <w:rFonts w:ascii="Arial" w:hAnsi="Arial" w:cs="Arial" w:eastAsia="Arial"/>
          <w:b w:val="0"/>
          <w:i/>
          <w:sz w:val="24"/>
        </w:rPr>
        <w:t>Z_t = |{ o ∈ O_t : e_o ≤ t + Δ₁ }| / |{ c ∈ D_t : e_c^disp ≤ t + Δ₂ }|        (2)</w:t>
      </w:r>
    </w:p>
    <w:p>
      <w:pPr>
        <w:spacing w:line="240" w:lineRule="auto" w:after="60" w:before="0"/>
        <w:jc w:val="both"/>
      </w:pPr>
      <w:r>
        <w:rPr>
          <w:rFonts w:ascii="Arial" w:hAnsi="Arial" w:cs="Arial" w:eastAsia="Arial"/>
          <w:b w:val="0"/>
          <w:i w:val="0"/>
          <w:sz w:val="24"/>
        </w:rPr>
        <w:t>Cuando Z_t &lt; 1 hay más repartidores que órdenes y el comportamiento converge a asignaciones individuales; cuando Z_t ≫ 1 el sistema está saturado y se favorecen agrupamientos mayores. Determinado Z_t se construyen agrupamientos por restaurante mediante inserción paralela con mejora local, se clasifican en tres grupos de prioridad según su urgencia respecto al objetivo de servicio τ y la asignación se resuelve por grupo como un problema de asignación lineal, con peso w para cada par agrupamiento-repartidor (s, d):</w:t>
      </w:r>
    </w:p>
    <w:p>
      <w:pPr>
        <w:spacing w:line="240" w:lineRule="auto" w:after="80" w:before="80"/>
        <w:jc w:val="center"/>
      </w:pPr>
      <w:r>
        <w:rPr>
          <w:rFonts w:ascii="Arial" w:hAnsi="Arial" w:cs="Arial" w:eastAsia="Arial"/>
          <w:b w:val="0"/>
          <w:i/>
          <w:sz w:val="24"/>
        </w:rPr>
        <w:t>w_{s,d} = N_s / ( máx_{o∈s} δ_{o,d} − e_d ) − θ · ( π_{s,d} − máx_{o∈s} e_o )        (3)</w:t>
      </w:r>
    </w:p>
    <w:p>
      <w:pPr>
        <w:spacing w:line="240" w:lineRule="auto" w:after="60" w:before="0"/>
        <w:jc w:val="both"/>
      </w:pPr>
      <w:r>
        <w:rPr>
          <w:rFonts w:ascii="Arial" w:hAnsi="Arial" w:cs="Arial" w:eastAsia="Arial"/>
          <w:b w:val="0"/>
          <w:i w:val="0"/>
          <w:sz w:val="24"/>
        </w:rPr>
        <w:t>donde N_s es el número de órdenes del agrupamiento, δ_{o,d} el tiempo de entrega de la orden o, e_d el momento en que el repartidor d queda disponible, π_{s,d} el tiempo de recolección y θ &gt; 0 el parámetro que penaliza el retraso respecto al ready time; el primer término premia la eficiencia y el segundo la frescura. El problema se resuelve en O(n³) con el algoritmo húngaro (Kuhn, 1955). Una estrategia de compromiso aditivo en dos etapas distingue el compromiso final, en el que el repartidor recoge y entrega dentro de la época actual, del compromiso parcial o inbound, en el que se desplaza hacia el restaurante y su agrupamiento se confirma en la época siguiente, lo que actúa como preposicionamiento y conserva flexibilidad ante nueva información.</w:t>
      </w:r>
    </w:p>
    <w:p>
      <w:pPr>
        <w:spacing w:line="240" w:lineRule="auto" w:after="60" w:before="0"/>
        <w:jc w:val="both"/>
      </w:pPr>
      <w:r>
        <w:rPr>
          <w:rFonts w:ascii="Arial" w:hAnsi="Arial" w:cs="Arial" w:eastAsia="Arial"/>
          <w:b w:val="0"/>
          <w:i w:val="0"/>
          <w:sz w:val="24"/>
        </w:rPr>
        <w:t>Para eliminar el error de la aproximación euclidiana, este trabajo sustituye las distancias en línea recta por consultas sobre el grafo vial real mediante la cadena OpenStreetMap → OSRM. OpenStreetMap modela la infraestructura como nodos, vías y relaciones (Boeing, 2021), de las que se deriva un grafo con costos definidos por la distancia y la velocidad de cada segmento, y los caminos mínimos se calculan con Contraction Hierarchies (Geisberger et al., 2008), que resuelve consultas en milisegundos. La sustitución tiene tres consecuencias: los tiempos dejan de ser simétricos por los sentidos de circulación, la desigualdad triangular se satisface de forma natural y se elimina el factor de conversión euclidiano de la formulación original. Por último, las llegadas se modelan como un proceso de Poisson no homogéneo; dado que los servicios de comida exhiben dos picos diarios (Wu et al., 2023), la intensidad se representa como una base constante más dos componentes gaussianas:</w:t>
      </w:r>
    </w:p>
    <w:p>
      <w:pPr>
        <w:spacing w:line="240" w:lineRule="auto" w:after="80" w:before="80"/>
        <w:jc w:val="center"/>
      </w:pPr>
      <w:r>
        <w:rPr>
          <w:rFonts w:ascii="Arial" w:hAnsi="Arial" w:cs="Arial" w:eastAsia="Arial"/>
          <w:b w:val="0"/>
          <w:i/>
          <w:sz w:val="24"/>
        </w:rPr>
        <w:t>λ(t) = λ₀ + A_m · exp( −(t − μ_m)² / 2σ² ) + A_e · exp( −(t − μ_e)² / 2σ² )        (4)</w:t>
      </w:r>
    </w:p>
    <w:p>
      <w:pPr>
        <w:keepNext/>
        <w:spacing w:line="240" w:lineRule="auto" w:after="80" w:before="140"/>
        <w:jc w:val="both"/>
      </w:pPr>
      <w:r>
        <w:rPr>
          <w:rFonts w:ascii="Arial" w:hAnsi="Arial" w:cs="Arial" w:eastAsia="Arial"/>
          <w:b/>
          <w:i w:val="0"/>
          <w:sz w:val="24"/>
        </w:rPr>
        <w:t>II. METODOLOGÍA</w:t>
      </w:r>
    </w:p>
    <w:p>
      <w:pPr>
        <w:keepNext/>
        <w:spacing w:line="240" w:lineRule="auto" w:after="60" w:before="100"/>
        <w:jc w:val="both"/>
      </w:pPr>
      <w:r>
        <w:rPr>
          <w:rFonts w:ascii="Arial" w:hAnsi="Arial" w:cs="Arial" w:eastAsia="Arial"/>
          <w:b/>
          <w:i w:val="0"/>
          <w:sz w:val="24"/>
        </w:rPr>
        <w:t>Área de estudio y periodo de realización</w:t>
      </w:r>
    </w:p>
    <w:p>
      <w:pPr>
        <w:spacing w:line="240" w:lineRule="auto" w:after="60" w:before="0"/>
        <w:jc w:val="both"/>
      </w:pPr>
      <w:r>
        <w:rPr>
          <w:rFonts w:ascii="Arial" w:hAnsi="Arial" w:cs="Arial" w:eastAsia="Arial"/>
          <w:b w:val="0"/>
          <w:i w:val="0"/>
          <w:sz w:val="24"/>
        </w:rPr>
        <w:t>El estudio se localiza en La Paz, Baja California Sur, México (24.14° N, 110.31° O), capital estatal de aproximadamente 250 000 habitantes. Su interés como caso de estudio radica en su topología hostil para el reparto: la mancha urbana se despliega sobre una ensenada que obliga a rodeos extensos y la conectividad depende de pocas arterias estructurantes, condiciones bajo las cuales la línea recta se aparta severamente del recorrido efectivo. El grafo vial se obtuvo del extracto de OpenStreetMap de la región. La investigación se desarrolló entre agosto de 2025 y junio de 2026; la campaña experimental que se reporta se ejecutó en abril de 2026.</w:t>
      </w:r>
    </w:p>
    <w:p>
      <w:pPr>
        <w:keepNext/>
        <w:spacing w:line="240" w:lineRule="auto" w:after="60" w:before="100"/>
        <w:jc w:val="both"/>
      </w:pPr>
      <w:r>
        <w:rPr>
          <w:rFonts w:ascii="Arial" w:hAnsi="Arial" w:cs="Arial" w:eastAsia="Arial"/>
          <w:b/>
          <w:i w:val="0"/>
          <w:sz w:val="24"/>
        </w:rPr>
        <w:t>Arquitectura del entorno de simulación</w:t>
      </w:r>
    </w:p>
    <w:p>
      <w:pPr>
        <w:spacing w:line="240" w:lineRule="auto" w:after="60" w:before="0"/>
        <w:jc w:val="both"/>
      </w:pPr>
      <w:r>
        <w:rPr>
          <w:rFonts w:ascii="Arial" w:hAnsi="Arial" w:cs="Arial" w:eastAsia="Arial"/>
          <w:b w:val="0"/>
          <w:i w:val="0"/>
          <w:sz w:val="24"/>
        </w:rPr>
        <w:t>El entorno se organiza en tres capas desacopladas. La capa de enrutamiento se apoya en OSRM v5.27.1 desplegado en un contenedor Docker que opera sobre localhost con Contraction Hierarchies aplicado al extracto de La Paz; la contenerización garantiza un entorno de cálculo idéntico en cualquier máquina anfitriona y una operación totalmente offline, sin consumo de interfaces comerciales. La capa de simulación implementa en Python un motor de eventos discretos que consulta tiempos y rutas al servidor OSRM vía HTTP. La capa de análisis calcula los indicadores y genera de forma automatizada las tablas y figuras. Todo el software empleado es de código abierto.</w:t>
      </w:r>
    </w:p>
    <w:p>
      <w:pPr>
        <w:keepNext/>
        <w:spacing w:line="240" w:lineRule="auto" w:after="60" w:before="100"/>
        <w:jc w:val="both"/>
      </w:pPr>
      <w:r>
        <w:rPr>
          <w:rFonts w:ascii="Arial" w:hAnsi="Arial" w:cs="Arial" w:eastAsia="Arial"/>
          <w:b/>
          <w:i w:val="0"/>
          <w:sz w:val="24"/>
        </w:rPr>
        <w:t>Generación de instancias y políticas comparadas</w:t>
      </w:r>
    </w:p>
    <w:p>
      <w:pPr>
        <w:spacing w:line="240" w:lineRule="auto" w:after="60" w:before="0"/>
        <w:jc w:val="both"/>
      </w:pPr>
      <w:r>
        <w:rPr>
          <w:rFonts w:ascii="Arial" w:hAnsi="Arial" w:cs="Arial" w:eastAsia="Arial"/>
          <w:b w:val="0"/>
          <w:i w:val="0"/>
          <w:sz w:val="24"/>
        </w:rPr>
        <w:t>Cada instancia contiene aproximadamente 1 038 pedidos en una ventana operativa diaria, asociados a 25 restaurantes. Los instantes de colocación se muestrean del proceso de la ecuación (4), calibrado con los picos de demanda del conjunto de datos LaDe (Wu et al., 2023), y las ubicaciones de restaurantes y clientes se muestrean dentro del polígono urbano de La Paz validando que cada punto obtenga respuesta del servicio de enrutamiento. Los tiempos de preparación se modelan como máx(5, N(12, 3²)) minutos y la flota se dimensiona según la ecuación (5), donde r es el número objetivo de pedidos por repartidor y n_mín = 10. El uso de semillas explícitas garantiza la reproducibilidad exacta.</w:t>
      </w:r>
    </w:p>
    <w:p>
      <w:pPr>
        <w:spacing w:line="240" w:lineRule="auto" w:after="80" w:before="80"/>
        <w:jc w:val="center"/>
      </w:pPr>
      <w:r>
        <w:rPr>
          <w:rFonts w:ascii="Arial" w:hAnsi="Arial" w:cs="Arial" w:eastAsia="Arial"/>
          <w:b w:val="0"/>
          <w:i/>
          <w:sz w:val="24"/>
        </w:rPr>
        <w:t>|C| = máx( n_mín ,  ⌈ |O| / r ⌉ )        (5)</w:t>
      </w:r>
    </w:p>
    <w:p>
      <w:pPr>
        <w:spacing w:line="240" w:lineRule="auto" w:after="60" w:before="0"/>
        <w:jc w:val="both"/>
      </w:pPr>
      <w:r>
        <w:rPr>
          <w:rFonts w:ascii="Arial" w:hAnsi="Arial" w:cs="Arial" w:eastAsia="Arial"/>
          <w:b w:val="0"/>
          <w:i w:val="0"/>
          <w:sz w:val="24"/>
        </w:rPr>
        <w:t>La simulación avanza en épocas de reoptimización de f = 5 minutos, durante las cuales toda orden transita por una máquina de estados —colocada, lista, asignada, recogida, entregada— con tiempos de viaje obtenidos de OSRM. La política base FCFS asigna de forma reactiva e inmediata cada pedido al repartidor disponible más cercano al restaurante, sin consolidación. La política de horizonte rodante (RH) implementa la heurística de la sección anterior: tamaño objetivo de agrupamiento con la ecuación (2), generación de agrupamientos por restaurante, clasificación por prioridad, asignación lineal con la ecuación (3) mediante el algoritmo húngaro y compromiso en dos etapas. Los parámetros permanecen constantes: f = 5 min, Δu = 20 min, τ = 40 min, tiempo de servicio s = 4 min y B_máx = 4, con p₁ = $10 por pedido y un piso de p₂ = $15 por hora de turno.</w:t>
      </w:r>
    </w:p>
    <w:p>
      <w:pPr>
        <w:keepNext/>
        <w:spacing w:line="240" w:lineRule="auto" w:after="60" w:before="100"/>
        <w:jc w:val="both"/>
      </w:pPr>
      <w:r>
        <w:rPr>
          <w:rFonts w:ascii="Arial" w:hAnsi="Arial" w:cs="Arial" w:eastAsia="Arial"/>
          <w:b/>
          <w:i w:val="0"/>
          <w:sz w:val="24"/>
        </w:rPr>
        <w:t>Diseño experimental y análisis estadístico</w:t>
      </w:r>
    </w:p>
    <w:p>
      <w:pPr>
        <w:spacing w:line="240" w:lineRule="auto" w:after="60" w:before="0"/>
        <w:jc w:val="both"/>
      </w:pPr>
      <w:r>
        <w:rPr>
          <w:rFonts w:ascii="Arial" w:hAnsi="Arial" w:cs="Arial" w:eastAsia="Arial"/>
          <w:b w:val="0"/>
          <w:i w:val="0"/>
          <w:sz w:val="24"/>
        </w:rPr>
        <w:t>La variable de tratamiento es la razón de saturación r —pedidos por repartidor—, que dimensiona la flota mediante la ecuación (5) manteniendo fijo el volumen de pedidos. Se definen cuatro escenarios que cubren desde una operación holgada hasta una saturación alta (Tabla 1).</w:t>
      </w:r>
    </w:p>
    <w:p>
      <w:pPr>
        <w:keepNext/>
        <w:spacing w:line="240" w:lineRule="auto" w:after="0" w:before="160"/>
        <w:jc w:val="left"/>
      </w:pPr>
      <w:r>
        <w:rPr>
          <w:rFonts w:ascii="Arial" w:hAnsi="Arial" w:cs="Arial" w:eastAsia="Arial"/>
          <w:b/>
          <w:i w:val="0"/>
          <w:sz w:val="24"/>
        </w:rPr>
        <w:t>Tabla 1</w:t>
      </w:r>
    </w:p>
    <w:p>
      <w:pPr>
        <w:keepNext/>
        <w:spacing w:line="240" w:lineRule="auto" w:after="80" w:before="0"/>
        <w:jc w:val="left"/>
      </w:pPr>
      <w:r>
        <w:rPr>
          <w:rFonts w:ascii="Arial" w:hAnsi="Arial" w:cs="Arial" w:eastAsia="Arial"/>
          <w:b w:val="0"/>
          <w:i/>
          <w:sz w:val="24"/>
        </w:rPr>
        <w:t>Escenarios experimentales de saturación de flota (|O| ≈ 1 038 pedidos).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224"/>
            <w:tcBorders>
              <w:top w:val="single" w:sz="6" w:color="000000"/>
              <w:bottom w:val="single" w:sz="6" w:color="000000"/>
              <w:left w:val="nil"/>
              <w:right w:val="nil"/>
              <w:insideH w:val="nil"/>
              <w:insideV w:val="nil"/>
            </w:tcBorders>
          </w:tcPr>
          <w:p>
            <w:pPr>
              <w:spacing w:line="240" w:lineRule="auto" w:after="20" w:before="20"/>
              <w:jc w:val="left"/>
            </w:pPr>
            <w:r/>
            <w:r>
              <w:rPr>
                <w:rFonts w:ascii="Arial" w:hAnsi="Arial" w:cs="Arial" w:eastAsia="Arial"/>
                <w:b/>
                <w:i w:val="0"/>
                <w:sz w:val="20"/>
              </w:rPr>
              <w:t>Escenario</w:t>
            </w:r>
          </w:p>
        </w:tc>
        <w:tc>
          <w:tcPr>
            <w:tcW w:type="dxa" w:w="1440"/>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20"/>
              </w:rPr>
              <w:t>Nivel</w:t>
            </w:r>
          </w:p>
        </w:tc>
        <w:tc>
          <w:tcPr>
            <w:tcW w:type="dxa" w:w="864"/>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20"/>
              </w:rPr>
              <w:t>r</w:t>
            </w:r>
          </w:p>
        </w:tc>
        <w:tc>
          <w:tcPr>
            <w:tcW w:type="dxa" w:w="864"/>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20"/>
              </w:rPr>
              <w:t>|C|</w:t>
            </w:r>
          </w:p>
        </w:tc>
        <w:tc>
          <w:tcPr>
            <w:tcW w:type="dxa" w:w="4608"/>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20"/>
              </w:rPr>
              <w:t>Descripción</w:t>
            </w:r>
          </w:p>
        </w:tc>
      </w:tr>
      <w:tr>
        <w:tc>
          <w:tcPr>
            <w:tcW w:type="dxa" w:w="1224"/>
            <w:tcBorders>
              <w:left w:val="nil"/>
              <w:right w:val="nil"/>
              <w:insideH w:val="nil"/>
              <w:insideV w:val="nil"/>
            </w:tcBorders>
          </w:tcPr>
          <w:p>
            <w:pPr>
              <w:spacing w:line="240" w:lineRule="auto" w:after="20" w:before="20"/>
              <w:jc w:val="left"/>
            </w:pPr>
            <w:r/>
            <w:r>
              <w:rPr>
                <w:rFonts w:ascii="Arial" w:hAnsi="Arial" w:cs="Arial" w:eastAsia="Arial"/>
                <w:b w:val="0"/>
                <w:i w:val="0"/>
                <w:sz w:val="20"/>
              </w:rPr>
              <w:t>S1</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20"/>
              </w:rPr>
              <w:t>Baja</w:t>
            </w:r>
          </w:p>
        </w:tc>
        <w:tc>
          <w:tcPr>
            <w:tcW w:type="dxa" w:w="864"/>
            <w:tcBorders>
              <w:left w:val="nil"/>
              <w:right w:val="nil"/>
              <w:insideH w:val="nil"/>
              <w:insideV w:val="nil"/>
            </w:tcBorders>
          </w:tcPr>
          <w:p>
            <w:pPr>
              <w:spacing w:line="240" w:lineRule="auto" w:after="20" w:before="20"/>
              <w:jc w:val="center"/>
            </w:pPr>
            <w:r/>
            <w:r>
              <w:rPr>
                <w:rFonts w:ascii="Arial" w:hAnsi="Arial" w:cs="Arial" w:eastAsia="Arial"/>
                <w:b w:val="0"/>
                <w:i w:val="0"/>
                <w:sz w:val="20"/>
              </w:rPr>
              <w:t>18</w:t>
            </w:r>
          </w:p>
        </w:tc>
        <w:tc>
          <w:tcPr>
            <w:tcW w:type="dxa" w:w="864"/>
            <w:tcBorders>
              <w:left w:val="nil"/>
              <w:right w:val="nil"/>
              <w:insideH w:val="nil"/>
              <w:insideV w:val="nil"/>
            </w:tcBorders>
          </w:tcPr>
          <w:p>
            <w:pPr>
              <w:spacing w:line="240" w:lineRule="auto" w:after="20" w:before="20"/>
              <w:jc w:val="center"/>
            </w:pPr>
            <w:r/>
            <w:r>
              <w:rPr>
                <w:rFonts w:ascii="Arial" w:hAnsi="Arial" w:cs="Arial" w:eastAsia="Arial"/>
                <w:b w:val="0"/>
                <w:i w:val="0"/>
                <w:sz w:val="20"/>
              </w:rPr>
              <w:t>58</w:t>
            </w:r>
          </w:p>
        </w:tc>
        <w:tc>
          <w:tcPr>
            <w:tcW w:type="dxa" w:w="4608"/>
            <w:tcBorders>
              <w:left w:val="nil"/>
              <w:right w:val="nil"/>
              <w:insideH w:val="nil"/>
              <w:insideV w:val="nil"/>
            </w:tcBorders>
          </w:tcPr>
          <w:p>
            <w:pPr>
              <w:spacing w:line="240" w:lineRule="auto" w:after="20" w:before="20"/>
              <w:jc w:val="center"/>
            </w:pPr>
            <w:r/>
            <w:r>
              <w:rPr>
                <w:rFonts w:ascii="Arial" w:hAnsi="Arial" w:cs="Arial" w:eastAsia="Arial"/>
                <w:b w:val="0"/>
                <w:i w:val="0"/>
                <w:sz w:val="20"/>
              </w:rPr>
              <w:t>Línea base; capacidad holgada</w:t>
            </w:r>
          </w:p>
        </w:tc>
      </w:tr>
      <w:tr>
        <w:tc>
          <w:tcPr>
            <w:tcW w:type="dxa" w:w="1224"/>
            <w:tcBorders>
              <w:left w:val="nil"/>
              <w:right w:val="nil"/>
              <w:insideH w:val="nil"/>
              <w:insideV w:val="nil"/>
            </w:tcBorders>
          </w:tcPr>
          <w:p>
            <w:pPr>
              <w:spacing w:line="240" w:lineRule="auto" w:after="20" w:before="20"/>
              <w:jc w:val="left"/>
            </w:pPr>
            <w:r/>
            <w:r>
              <w:rPr>
                <w:rFonts w:ascii="Arial" w:hAnsi="Arial" w:cs="Arial" w:eastAsia="Arial"/>
                <w:b w:val="0"/>
                <w:i w:val="0"/>
                <w:sz w:val="20"/>
              </w:rPr>
              <w:t>S2</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20"/>
              </w:rPr>
              <w:t>Moderada</w:t>
            </w:r>
          </w:p>
        </w:tc>
        <w:tc>
          <w:tcPr>
            <w:tcW w:type="dxa" w:w="864"/>
            <w:tcBorders>
              <w:left w:val="nil"/>
              <w:right w:val="nil"/>
              <w:insideH w:val="nil"/>
              <w:insideV w:val="nil"/>
            </w:tcBorders>
          </w:tcPr>
          <w:p>
            <w:pPr>
              <w:spacing w:line="240" w:lineRule="auto" w:after="20" w:before="20"/>
              <w:jc w:val="center"/>
            </w:pPr>
            <w:r/>
            <w:r>
              <w:rPr>
                <w:rFonts w:ascii="Arial" w:hAnsi="Arial" w:cs="Arial" w:eastAsia="Arial"/>
                <w:b w:val="0"/>
                <w:i w:val="0"/>
                <w:sz w:val="20"/>
              </w:rPr>
              <w:t>26</w:t>
            </w:r>
          </w:p>
        </w:tc>
        <w:tc>
          <w:tcPr>
            <w:tcW w:type="dxa" w:w="864"/>
            <w:tcBorders>
              <w:left w:val="nil"/>
              <w:right w:val="nil"/>
              <w:insideH w:val="nil"/>
              <w:insideV w:val="nil"/>
            </w:tcBorders>
          </w:tcPr>
          <w:p>
            <w:pPr>
              <w:spacing w:line="240" w:lineRule="auto" w:after="20" w:before="20"/>
              <w:jc w:val="center"/>
            </w:pPr>
            <w:r/>
            <w:r>
              <w:rPr>
                <w:rFonts w:ascii="Arial" w:hAnsi="Arial" w:cs="Arial" w:eastAsia="Arial"/>
                <w:b w:val="0"/>
                <w:i w:val="0"/>
                <w:sz w:val="20"/>
              </w:rPr>
              <w:t>40</w:t>
            </w:r>
          </w:p>
        </w:tc>
        <w:tc>
          <w:tcPr>
            <w:tcW w:type="dxa" w:w="4608"/>
            <w:tcBorders>
              <w:left w:val="nil"/>
              <w:right w:val="nil"/>
              <w:insideH w:val="nil"/>
              <w:insideV w:val="nil"/>
            </w:tcBorders>
          </w:tcPr>
          <w:p>
            <w:pPr>
              <w:spacing w:line="240" w:lineRule="auto" w:after="20" w:before="20"/>
              <w:jc w:val="center"/>
            </w:pPr>
            <w:r/>
            <w:r>
              <w:rPr>
                <w:rFonts w:ascii="Arial" w:hAnsi="Arial" w:cs="Arial" w:eastAsia="Arial"/>
                <w:b w:val="0"/>
                <w:i w:val="0"/>
                <w:sz w:val="20"/>
              </w:rPr>
              <w:t>Reducción moderada de flota</w:t>
            </w:r>
          </w:p>
        </w:tc>
      </w:tr>
      <w:tr>
        <w:tc>
          <w:tcPr>
            <w:tcW w:type="dxa" w:w="1224"/>
            <w:tcBorders>
              <w:left w:val="nil"/>
              <w:right w:val="nil"/>
              <w:insideH w:val="nil"/>
              <w:insideV w:val="nil"/>
            </w:tcBorders>
          </w:tcPr>
          <w:p>
            <w:pPr>
              <w:spacing w:line="240" w:lineRule="auto" w:after="20" w:before="20"/>
              <w:jc w:val="left"/>
            </w:pPr>
            <w:r/>
            <w:r>
              <w:rPr>
                <w:rFonts w:ascii="Arial" w:hAnsi="Arial" w:cs="Arial" w:eastAsia="Arial"/>
                <w:b w:val="0"/>
                <w:i w:val="0"/>
                <w:sz w:val="20"/>
              </w:rPr>
              <w:t>S3</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20"/>
              </w:rPr>
              <w:t>Media</w:t>
            </w:r>
          </w:p>
        </w:tc>
        <w:tc>
          <w:tcPr>
            <w:tcW w:type="dxa" w:w="864"/>
            <w:tcBorders>
              <w:left w:val="nil"/>
              <w:right w:val="nil"/>
              <w:insideH w:val="nil"/>
              <w:insideV w:val="nil"/>
            </w:tcBorders>
          </w:tcPr>
          <w:p>
            <w:pPr>
              <w:spacing w:line="240" w:lineRule="auto" w:after="20" w:before="20"/>
              <w:jc w:val="center"/>
            </w:pPr>
            <w:r/>
            <w:r>
              <w:rPr>
                <w:rFonts w:ascii="Arial" w:hAnsi="Arial" w:cs="Arial" w:eastAsia="Arial"/>
                <w:b w:val="0"/>
                <w:i w:val="0"/>
                <w:sz w:val="20"/>
              </w:rPr>
              <w:t>35</w:t>
            </w:r>
          </w:p>
        </w:tc>
        <w:tc>
          <w:tcPr>
            <w:tcW w:type="dxa" w:w="864"/>
            <w:tcBorders>
              <w:left w:val="nil"/>
              <w:right w:val="nil"/>
              <w:insideH w:val="nil"/>
              <w:insideV w:val="nil"/>
            </w:tcBorders>
          </w:tcPr>
          <w:p>
            <w:pPr>
              <w:spacing w:line="240" w:lineRule="auto" w:after="20" w:before="20"/>
              <w:jc w:val="center"/>
            </w:pPr>
            <w:r/>
            <w:r>
              <w:rPr>
                <w:rFonts w:ascii="Arial" w:hAnsi="Arial" w:cs="Arial" w:eastAsia="Arial"/>
                <w:b w:val="0"/>
                <w:i w:val="0"/>
                <w:sz w:val="20"/>
              </w:rPr>
              <w:t>30</w:t>
            </w:r>
          </w:p>
        </w:tc>
        <w:tc>
          <w:tcPr>
            <w:tcW w:type="dxa" w:w="4608"/>
            <w:tcBorders>
              <w:left w:val="nil"/>
              <w:right w:val="nil"/>
              <w:insideH w:val="nil"/>
              <w:insideV w:val="nil"/>
            </w:tcBorders>
          </w:tcPr>
          <w:p>
            <w:pPr>
              <w:spacing w:line="240" w:lineRule="auto" w:after="20" w:before="20"/>
              <w:jc w:val="center"/>
            </w:pPr>
            <w:r/>
            <w:r>
              <w:rPr>
                <w:rFonts w:ascii="Arial" w:hAnsi="Arial" w:cs="Arial" w:eastAsia="Arial"/>
                <w:b w:val="0"/>
                <w:i w:val="0"/>
                <w:sz w:val="20"/>
              </w:rPr>
              <w:t>Punto medio de saturación</w:t>
            </w:r>
          </w:p>
        </w:tc>
      </w:tr>
      <w:tr>
        <w:tc>
          <w:tcPr>
            <w:tcW w:type="dxa" w:w="1224"/>
            <w:tcBorders>
              <w:bottom w:val="single" w:sz="6" w:color="000000"/>
              <w:left w:val="nil"/>
              <w:right w:val="nil"/>
              <w:insideH w:val="nil"/>
              <w:insideV w:val="nil"/>
            </w:tcBorders>
          </w:tcPr>
          <w:p>
            <w:pPr>
              <w:spacing w:line="240" w:lineRule="auto" w:after="20" w:before="20"/>
              <w:jc w:val="left"/>
            </w:pPr>
            <w:r/>
            <w:r>
              <w:rPr>
                <w:rFonts w:ascii="Arial" w:hAnsi="Arial" w:cs="Arial" w:eastAsia="Arial"/>
                <w:b w:val="0"/>
                <w:i w:val="0"/>
                <w:sz w:val="20"/>
              </w:rPr>
              <w:t>S4</w:t>
            </w:r>
          </w:p>
        </w:tc>
        <w:tc>
          <w:tcPr>
            <w:tcW w:type="dxa" w:w="1440"/>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20"/>
              </w:rPr>
              <w:t>Alta</w:t>
            </w:r>
          </w:p>
        </w:tc>
        <w:tc>
          <w:tcPr>
            <w:tcW w:type="dxa" w:w="864"/>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20"/>
              </w:rPr>
              <w:t>52</w:t>
            </w:r>
          </w:p>
        </w:tc>
        <w:tc>
          <w:tcPr>
            <w:tcW w:type="dxa" w:w="864"/>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20"/>
              </w:rPr>
              <w:t>20</w:t>
            </w:r>
          </w:p>
        </w:tc>
        <w:tc>
          <w:tcPr>
            <w:tcW w:type="dxa" w:w="4608"/>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20"/>
              </w:rPr>
              <w:t>Carga elevada por repartidor</w:t>
            </w:r>
          </w:p>
        </w:tc>
      </w:tr>
    </w:tbl>
    <w:p>
      <w:pPr>
        <w:spacing w:line="240" w:lineRule="auto" w:after="160" w:before="60"/>
        <w:jc w:val="left"/>
      </w:pPr>
      <w:r>
        <w:rPr>
          <w:rFonts w:ascii="Arial" w:hAnsi="Arial" w:cs="Arial" w:eastAsia="Arial"/>
          <w:b w:val="0"/>
          <w:i/>
          <w:sz w:val="18"/>
        </w:rPr>
        <w:t xml:space="preserve">Nota. </w:t>
      </w:r>
      <w:r>
        <w:rPr>
          <w:rFonts w:ascii="Arial" w:hAnsi="Arial" w:cs="Arial" w:eastAsia="Arial"/>
          <w:b w:val="0"/>
          <w:i w:val="0"/>
          <w:sz w:val="18"/>
        </w:rPr>
        <w:t>Los valores de |C| son nominales; al depender del número de pedidos efectivamente generado por cada semilla, la flota real varía en ±3 repartidores entre réplicas. Fuente: elaboración propia.</w:t>
      </w:r>
    </w:p>
    <w:p>
      <w:pPr>
        <w:spacing w:line="240" w:lineRule="auto" w:after="60" w:before="0"/>
        <w:jc w:val="both"/>
      </w:pPr>
      <w:r>
        <w:rPr>
          <w:rFonts w:ascii="Arial" w:hAnsi="Arial" w:cs="Arial" w:eastAsia="Arial"/>
          <w:b w:val="0"/>
          <w:i w:val="0"/>
          <w:sz w:val="24"/>
        </w:rPr>
        <w:t>Para cada combinación de escenario y semilla, ambas políticas se ejecutan sobre la misma instancia de pedidos y flota, lo que constituye una comparación pareada y aísla el efecto de la política de asignación. Se emplearon diez semillas aleatorias, de las cuales siete produjeron resultados válidos; en las tres restantes la totalidad de las órdenes permaneció en estado lista sin asignación, una falla total atribuible a una interrupción del servicio de enrutamiento que, por ser completa e independiente del desempeño de las políticas, no introduce sesgo de selección al excluirse. Los valores reportados son el promedio de las siete réplicas válidas, que suman 4 × 7 × 2 = 56 corridas. El desempeño se cuantifica con 21 indicadores de calidad de servicio, cobertura, eficiencia operativa, agrupamiento y costo por pedido.</w:t>
      </w:r>
    </w:p>
    <w:p>
      <w:pPr>
        <w:spacing w:line="240" w:lineRule="auto" w:after="60" w:before="0"/>
        <w:jc w:val="both"/>
      </w:pPr>
      <w:r>
        <w:rPr>
          <w:rFonts w:ascii="Arial" w:hAnsi="Arial" w:cs="Arial" w:eastAsia="Arial"/>
          <w:b w:val="0"/>
          <w:i w:val="0"/>
          <w:sz w:val="24"/>
        </w:rPr>
        <w:t>Dado que el diseño es de medidas repetidas, la prueba primaria es el test de Wilcoxon de rangos con signo (Wilcoxon, 1945) aplicado a las medias por semilla, de modo que cada semilla aporta una única observación independiente y se evita la pseudo-replicación que inflaría artificialmente los grados de libertad (Hurlbert, 1984). Se reporta la diferencia de medias con intervalo de confianza t de Student al 95 % y la correlación rank-biserial pareada como tamaño del efecto. Para evaluar si la magnitud del efecto varía entre regímenes se emplea la prueba ómnibus de Friedman (1937) sobre la matriz semillas × escenarios de la diferencia de CtD. Se optó por pruebas no paramétricas porque Shapiro-Wilk rechazó la normalidad de varios indicadores y por su robustez ante los valores atípicos, abundantes en el régimen saturado.</w:t>
      </w:r>
    </w:p>
    <w:p>
      <w:pPr>
        <w:keepNext/>
        <w:spacing w:line="240" w:lineRule="auto" w:after="80" w:before="140"/>
        <w:jc w:val="both"/>
      </w:pPr>
      <w:r>
        <w:rPr>
          <w:rFonts w:ascii="Arial" w:hAnsi="Arial" w:cs="Arial" w:eastAsia="Arial"/>
          <w:b/>
          <w:i w:val="0"/>
          <w:sz w:val="24"/>
        </w:rPr>
        <w:t>III. RESULTADOS O AVANCES</w:t>
      </w:r>
    </w:p>
    <w:p>
      <w:pPr>
        <w:keepNext/>
        <w:spacing w:line="240" w:lineRule="auto" w:after="60" w:before="100"/>
        <w:jc w:val="both"/>
      </w:pPr>
      <w:r>
        <w:rPr>
          <w:rFonts w:ascii="Arial" w:hAnsi="Arial" w:cs="Arial" w:eastAsia="Arial"/>
          <w:b/>
          <w:i w:val="0"/>
          <w:sz w:val="24"/>
        </w:rPr>
        <w:t>Calidad de servicio</w:t>
      </w:r>
    </w:p>
    <w:p>
      <w:pPr>
        <w:spacing w:line="240" w:lineRule="auto" w:after="60" w:before="0"/>
        <w:jc w:val="both"/>
      </w:pPr>
      <w:r>
        <w:rPr>
          <w:rFonts w:ascii="Arial" w:hAnsi="Arial" w:cs="Arial" w:eastAsia="Arial"/>
          <w:b w:val="0"/>
          <w:i w:val="0"/>
          <w:sz w:val="24"/>
        </w:rPr>
        <w:t>La Tabla 2 presenta los indicadores de calidad de servicio promediados sobre las siete réplicas válidas; el cumplimiento del objetivo se define como el porcentaje de pedidos entregados en 40 minutos o menos.</w:t>
      </w:r>
    </w:p>
    <w:p>
      <w:pPr>
        <w:keepNext/>
        <w:spacing w:line="240" w:lineRule="auto" w:after="0" w:before="160"/>
        <w:jc w:val="left"/>
      </w:pPr>
      <w:r>
        <w:rPr>
          <w:rFonts w:ascii="Arial" w:hAnsi="Arial" w:cs="Arial" w:eastAsia="Arial"/>
          <w:b/>
          <w:i w:val="0"/>
          <w:sz w:val="24"/>
        </w:rPr>
        <w:t>Tabla 2</w:t>
      </w:r>
    </w:p>
    <w:p>
      <w:pPr>
        <w:keepNext/>
        <w:spacing w:line="240" w:lineRule="auto" w:after="80" w:before="0"/>
        <w:jc w:val="left"/>
      </w:pPr>
      <w:r>
        <w:rPr>
          <w:rFonts w:ascii="Arial" w:hAnsi="Arial" w:cs="Arial" w:eastAsia="Arial"/>
          <w:b w:val="0"/>
          <w:i/>
          <w:sz w:val="24"/>
        </w:rPr>
        <w:t>Indicadores de calidad de servicio: promedio de siete réplicas.</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top w:val="single" w:sz="6" w:color="000000"/>
              <w:left w:val="nil"/>
              <w:right w:val="nil"/>
              <w:insideH w:val="nil"/>
              <w:insideV w:val="nil"/>
            </w:tcBorders>
          </w:tcPr>
          <w:p>
            <w:pPr>
              <w:spacing w:line="240" w:lineRule="auto" w:after="20" w:before="20"/>
              <w:jc w:val="left"/>
            </w:pPr>
            <w:r/>
            <w:r>
              <w:rPr>
                <w:rFonts w:ascii="Arial" w:hAnsi="Arial" w:cs="Arial" w:eastAsia="Arial"/>
                <w:b/>
                <w:i w:val="0"/>
                <w:sz w:val="18"/>
              </w:rPr>
            </w:r>
          </w:p>
        </w:tc>
        <w:tc>
          <w:tcPr>
            <w:tcW w:type="dxa" w:w="2808"/>
            <w:gridSpan w:val="3"/>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Avg CtD (min)</w:t>
            </w:r>
          </w:p>
        </w:tc>
        <w:tc>
          <w:tcPr>
            <w:tcW w:type="dxa" w:w="2808"/>
            <w:gridSpan w:val="3"/>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P90 CtD (min)</w:t>
            </w:r>
          </w:p>
        </w:tc>
        <w:tc>
          <w:tcPr>
            <w:tcW w:type="dxa" w:w="2808"/>
            <w:gridSpan w:val="3"/>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Cumplimiento τ (%)</w:t>
            </w:r>
          </w:p>
        </w:tc>
      </w:tr>
      <w:tr>
        <w:tc>
          <w:tcPr>
            <w:tcW w:type="dxa" w:w="936"/>
            <w:tcBorders>
              <w:bottom w:val="single" w:sz="6" w:color="000000"/>
              <w:left w:val="nil"/>
              <w:right w:val="nil"/>
              <w:insideH w:val="nil"/>
              <w:insideV w:val="nil"/>
            </w:tcBorders>
          </w:tcPr>
          <w:p>
            <w:pPr>
              <w:spacing w:line="240" w:lineRule="auto" w:after="20" w:before="20"/>
              <w:jc w:val="left"/>
            </w:pPr>
            <w:r/>
            <w:r>
              <w:rPr>
                <w:rFonts w:ascii="Arial" w:hAnsi="Arial" w:cs="Arial" w:eastAsia="Arial"/>
                <w:b/>
                <w:i w:val="0"/>
                <w:sz w:val="18"/>
              </w:rPr>
              <w:t>Esc.</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FCFS</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RH</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Δ %</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FCFS</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RH</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Δ %</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FCFS</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RH</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Δ pp</w:t>
            </w:r>
          </w:p>
        </w:tc>
      </w:tr>
      <w:tr>
        <w:tc>
          <w:tcPr>
            <w:tcW w:type="dxa" w:w="936"/>
            <w:tcBorders>
              <w:left w:val="nil"/>
              <w:right w:val="nil"/>
              <w:insideH w:val="nil"/>
              <w:insideV w:val="nil"/>
            </w:tcBorders>
          </w:tcPr>
          <w:p>
            <w:pPr>
              <w:spacing w:line="240" w:lineRule="auto" w:after="20" w:before="20"/>
              <w:jc w:val="left"/>
            </w:pPr>
            <w:r/>
            <w:r>
              <w:rPr>
                <w:rFonts w:ascii="Arial" w:hAnsi="Arial" w:cs="Arial" w:eastAsia="Arial"/>
                <w:b w:val="0"/>
                <w:i w:val="0"/>
                <w:sz w:val="18"/>
              </w:rPr>
              <w:t>S1</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10.10</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20.38</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+101.8</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13.10</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31.51</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+140.5</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100.0</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99.2</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−0.8</w:t>
            </w:r>
          </w:p>
        </w:tc>
      </w:tr>
      <w:tr>
        <w:tc>
          <w:tcPr>
            <w:tcW w:type="dxa" w:w="936"/>
            <w:tcBorders>
              <w:left w:val="nil"/>
              <w:right w:val="nil"/>
              <w:insideH w:val="nil"/>
              <w:insideV w:val="nil"/>
            </w:tcBorders>
          </w:tcPr>
          <w:p>
            <w:pPr>
              <w:spacing w:line="240" w:lineRule="auto" w:after="20" w:before="20"/>
              <w:jc w:val="left"/>
            </w:pPr>
            <w:r/>
            <w:r>
              <w:rPr>
                <w:rFonts w:ascii="Arial" w:hAnsi="Arial" w:cs="Arial" w:eastAsia="Arial"/>
                <w:b w:val="0"/>
                <w:i w:val="0"/>
                <w:sz w:val="18"/>
              </w:rPr>
              <w:t>S2</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16.68</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22.74</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+36.3</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32.73</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35.46</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+8.3</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91.7</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97.0</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+5.4</w:t>
            </w:r>
          </w:p>
        </w:tc>
      </w:tr>
      <w:tr>
        <w:tc>
          <w:tcPr>
            <w:tcW w:type="dxa" w:w="936"/>
            <w:tcBorders>
              <w:left w:val="nil"/>
              <w:right w:val="nil"/>
              <w:insideH w:val="nil"/>
              <w:insideV w:val="nil"/>
            </w:tcBorders>
          </w:tcPr>
          <w:p>
            <w:pPr>
              <w:spacing w:line="240" w:lineRule="auto" w:after="20" w:before="20"/>
              <w:jc w:val="left"/>
            </w:pPr>
            <w:r/>
            <w:r>
              <w:rPr>
                <w:rFonts w:ascii="Arial" w:hAnsi="Arial" w:cs="Arial" w:eastAsia="Arial"/>
                <w:b w:val="0"/>
                <w:i w:val="0"/>
                <w:sz w:val="18"/>
              </w:rPr>
              <w:t>S3</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35.79</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25.52</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−28.7</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117.19</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39.94</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−65.9</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76.3</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90.2</w:t>
            </w:r>
          </w:p>
        </w:tc>
        <w:tc>
          <w:tcPr>
            <w:tcW w:type="dxa" w:w="936"/>
            <w:tcBorders>
              <w:left w:val="nil"/>
              <w:right w:val="nil"/>
              <w:insideH w:val="nil"/>
              <w:insideV w:val="nil"/>
            </w:tcBorders>
          </w:tcPr>
          <w:p>
            <w:pPr>
              <w:spacing w:line="240" w:lineRule="auto" w:after="20" w:before="20"/>
              <w:jc w:val="center"/>
            </w:pPr>
            <w:r/>
            <w:r>
              <w:rPr>
                <w:rFonts w:ascii="Arial" w:hAnsi="Arial" w:cs="Arial" w:eastAsia="Arial"/>
                <w:b w:val="0"/>
                <w:i w:val="0"/>
                <w:sz w:val="18"/>
              </w:rPr>
              <w:t>+14.0</w:t>
            </w:r>
          </w:p>
        </w:tc>
      </w:tr>
      <w:tr>
        <w:tc>
          <w:tcPr>
            <w:tcW w:type="dxa" w:w="936"/>
            <w:tcBorders>
              <w:bottom w:val="single" w:sz="6" w:color="000000"/>
              <w:left w:val="nil"/>
              <w:right w:val="nil"/>
              <w:insideH w:val="nil"/>
              <w:insideV w:val="nil"/>
            </w:tcBorders>
          </w:tcPr>
          <w:p>
            <w:pPr>
              <w:spacing w:line="240" w:lineRule="auto" w:after="20" w:before="20"/>
              <w:jc w:val="left"/>
            </w:pPr>
            <w:r/>
            <w:r>
              <w:rPr>
                <w:rFonts w:ascii="Arial" w:hAnsi="Arial" w:cs="Arial" w:eastAsia="Arial"/>
                <w:b w:val="0"/>
                <w:i w:val="0"/>
                <w:sz w:val="18"/>
              </w:rPr>
              <w:t>S4</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75.41</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32.26</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−57.2</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228.01</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52.27</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−77.1</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61.2</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78.3</w:t>
            </w:r>
          </w:p>
        </w:tc>
        <w:tc>
          <w:tcPr>
            <w:tcW w:type="dxa" w:w="9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+17.1</w:t>
            </w:r>
          </w:p>
        </w:tc>
      </w:tr>
    </w:tbl>
    <w:p>
      <w:pPr>
        <w:spacing w:line="240" w:lineRule="auto" w:after="160" w:before="60"/>
        <w:jc w:val="left"/>
      </w:pPr>
      <w:r>
        <w:rPr>
          <w:rFonts w:ascii="Arial" w:hAnsi="Arial" w:cs="Arial" w:eastAsia="Arial"/>
          <w:b w:val="0"/>
          <w:i/>
          <w:sz w:val="18"/>
        </w:rPr>
        <w:t xml:space="preserve">Nota. </w:t>
      </w:r>
      <w:r>
        <w:rPr>
          <w:rFonts w:ascii="Arial" w:hAnsi="Arial" w:cs="Arial" w:eastAsia="Arial"/>
          <w:b w:val="0"/>
          <w:i w:val="0"/>
          <w:sz w:val="18"/>
        </w:rPr>
        <w:t>Δ % expresa el cambio relativo de RH respecto a FCFS; Δ pp expresa la diferencia en puntos porcentuales. Las métricas se calculan sobre pedidos entregados. Fuente: elaboración propia.</w:t>
      </w:r>
    </w:p>
    <w:p>
      <w:pPr>
        <w:spacing w:line="240" w:lineRule="auto" w:after="60" w:before="0"/>
        <w:jc w:val="both"/>
      </w:pPr>
      <w:r>
        <w:rPr>
          <w:rFonts w:ascii="Arial" w:hAnsi="Arial" w:cs="Arial" w:eastAsia="Arial"/>
          <w:b w:val="0"/>
          <w:i w:val="0"/>
          <w:sz w:val="24"/>
        </w:rPr>
        <w:t>En baja saturación (S1) FCFS logra tiempos menores que RH —10.10 frente a 20.38 minutos— porque despacha cada pedido de inmediato al repartidor más cercano, mientras que RH introduce la latencia del ciclo de optimización y la espera para formar agrupamientos; aun así, ambas se mantienen muy por debajo del objetivo de 40 minutos. En S2 la brecha se reduce a +36.3 % y el cumplimiento se invierte a favor de RH (97.0 % frente a 91.7 %, 5.4 puntos porcentuales): antes incluso de superar a FCFS en tiempo promedio, la coordinación de agrupamientos ya reduce la proporción de pedidos que exceden el umbral.</w:t>
      </w:r>
    </w:p>
    <w:p>
      <w:pPr>
        <w:spacing w:line="240" w:lineRule="auto" w:after="60" w:before="0"/>
        <w:jc w:val="both"/>
      </w:pPr>
      <w:r>
        <w:rPr>
          <w:rFonts w:ascii="Arial" w:hAnsi="Arial" w:cs="Arial" w:eastAsia="Arial"/>
          <w:b w:val="0"/>
          <w:i w:val="0"/>
          <w:sz w:val="24"/>
        </w:rPr>
        <w:t>A partir de S3, RH supera decisivamente a FCFS: el CtD promedio baja un 28.7 % y el percentil 90 cae de 117.19 a 39.94 minutos (−65.9 %), lo que indica que la heurística no solo mejora la tendencia central sino que comprime la cola derecha de la distribución, donde se concentra la peor experiencia del cliente. En S4 la ventaja es máxima: −57.2 % en CtD promedio y −77.1 % en el percentil 90. A ello se añade la cobertura: bajo FCFS un 11.5 % de los pedidos queda sin entregar al cierre del turno, mientras que bajo RH se entrega la totalidad. Este hecho vuelve conservadora la comparación, pues los indicadores de tiempo de FCFS se calculan solo sobre los pedidos que sí logró entregar: computado sobre la totalidad de pedidos generados, su cumplimiento en S4 descendería de 61.2 % a 54.1 %, con lo que la ventaja real de RH sería aún mayor.</w:t>
      </w:r>
    </w:p>
    <w:p>
      <w:pPr>
        <w:keepNext/>
        <w:spacing w:before="160" w:after="40"/>
        <w:jc w:val="center"/>
      </w:pPr>
      <w:r>
        <w:drawing>
          <wp:inline xmlns:a="http://schemas.openxmlformats.org/drawingml/2006/main" xmlns:pic="http://schemas.openxmlformats.org/drawingml/2006/picture">
            <wp:extent cx="4114800" cy="1886753"/>
            <wp:docPr id="1" name="Picture 1"/>
            <wp:cNvGraphicFramePr>
              <a:graphicFrameLocks noChangeAspect="1"/>
            </wp:cNvGraphicFramePr>
            <a:graphic>
              <a:graphicData uri="http://schemas.openxmlformats.org/drawingml/2006/picture">
                <pic:pic>
                  <pic:nvPicPr>
                    <pic:cNvPr id="0" name="fig_ctd_boxplot_1200dpi.png"/>
                    <pic:cNvPicPr/>
                  </pic:nvPicPr>
                  <pic:blipFill>
                    <a:blip r:embed="rId16"/>
                    <a:stretch>
                      <a:fillRect/>
                    </a:stretch>
                  </pic:blipFill>
                  <pic:spPr>
                    <a:xfrm>
                      <a:off x="0" y="0"/>
                      <a:ext cx="4114800" cy="1886753"/>
                    </a:xfrm>
                    <a:prstGeom prst="rect"/>
                  </pic:spPr>
                </pic:pic>
              </a:graphicData>
            </a:graphic>
          </wp:inline>
        </w:drawing>
      </w:r>
    </w:p>
    <w:p>
      <w:pPr>
        <w:spacing w:line="240" w:lineRule="auto" w:after="200" w:before="0"/>
        <w:jc w:val="center"/>
      </w:pPr>
      <w:r>
        <w:rPr>
          <w:rFonts w:ascii="Arial" w:hAnsi="Arial" w:cs="Arial" w:eastAsia="Arial"/>
          <w:b/>
          <w:i w:val="0"/>
          <w:sz w:val="20"/>
        </w:rPr>
        <w:t xml:space="preserve">Figura 1. </w:t>
      </w:r>
      <w:r>
        <w:rPr>
          <w:rFonts w:ascii="Arial" w:hAnsi="Arial" w:cs="Arial" w:eastAsia="Arial"/>
          <w:b w:val="0"/>
          <w:i w:val="0"/>
          <w:sz w:val="20"/>
        </w:rPr>
        <w:t>Distribución del Click-to-Door por escenario y política. La línea punteada indica el objetivo de servicio τ = 40 min.</w:t>
      </w:r>
      <w:r>
        <w:rPr>
          <w:rFonts w:ascii="Arial" w:hAnsi="Arial" w:cs="Arial" w:eastAsia="Arial"/>
          <w:b w:val="0"/>
          <w:i w:val="0"/>
          <w:sz w:val="20"/>
        </w:rPr>
        <w:t xml:space="preserve"> Fuente: elaboración propia.</w:t>
      </w:r>
    </w:p>
    <w:p>
      <w:pPr>
        <w:spacing w:line="240" w:lineRule="auto" w:after="60" w:before="0"/>
        <w:jc w:val="both"/>
      </w:pPr>
      <w:r>
        <w:rPr>
          <w:rFonts w:ascii="Arial" w:hAnsi="Arial" w:cs="Arial" w:eastAsia="Arial"/>
          <w:b w:val="0"/>
          <w:i w:val="0"/>
          <w:sz w:val="24"/>
        </w:rPr>
        <w:t>La Figura 1 ilustra el colapso progresivo de FCFS en S3 y S4, con alta dispersión y valores atípicos por encima de 300 minutos, frente a la distribución compacta de RH. El Ready-to-Pickup refuerza el diagnóstico: bajo FCFS crece de 0.14 minutos en S1 a 62.55 en S4, reflejando largas colas de comida lista esperando repartidor, mientras que bajo RH se queda en 15.21 minutos (−75.7 %). El exceso promedio sobre el objetivo pasa de 52.06 a 4.72 minutos en S4, con reducciones superiores al 90 % en S2 a S4.</w:t>
      </w:r>
    </w:p>
    <w:p>
      <w:pPr>
        <w:keepNext/>
        <w:spacing w:line="240" w:lineRule="auto" w:after="60" w:before="100"/>
        <w:jc w:val="both"/>
      </w:pPr>
      <w:r>
        <w:rPr>
          <w:rFonts w:ascii="Arial" w:hAnsi="Arial" w:cs="Arial" w:eastAsia="Arial"/>
          <w:b/>
          <w:i w:val="0"/>
          <w:sz w:val="24"/>
        </w:rPr>
        <w:t>Eficiencia operativa y agrupamiento</w:t>
      </w:r>
    </w:p>
    <w:p>
      <w:pPr>
        <w:keepNext/>
        <w:spacing w:line="240" w:lineRule="auto" w:after="0" w:before="160"/>
        <w:jc w:val="left"/>
      </w:pPr>
      <w:r>
        <w:rPr>
          <w:rFonts w:ascii="Arial" w:hAnsi="Arial" w:cs="Arial" w:eastAsia="Arial"/>
          <w:b/>
          <w:i w:val="0"/>
          <w:sz w:val="24"/>
        </w:rPr>
        <w:t>Tabla 3</w:t>
      </w:r>
    </w:p>
    <w:p>
      <w:pPr>
        <w:keepNext/>
        <w:spacing w:line="240" w:lineRule="auto" w:after="80" w:before="0"/>
        <w:jc w:val="left"/>
      </w:pPr>
      <w:r>
        <w:rPr>
          <w:rFonts w:ascii="Arial" w:hAnsi="Arial" w:cs="Arial" w:eastAsia="Arial"/>
          <w:b w:val="0"/>
          <w:i/>
          <w:sz w:val="24"/>
        </w:rPr>
        <w:t>Eficiencia operativa, agrupamiento y costo: promedio de siete réplicas.</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Borders>
              <w:top w:val="single" w:sz="6" w:color="000000"/>
              <w:left w:val="nil"/>
              <w:right w:val="nil"/>
              <w:insideH w:val="nil"/>
              <w:insideV w:val="nil"/>
            </w:tcBorders>
          </w:tcPr>
          <w:p>
            <w:pPr>
              <w:spacing w:line="240" w:lineRule="auto" w:after="20" w:before="20"/>
              <w:jc w:val="left"/>
            </w:pPr>
            <w:r/>
            <w:r>
              <w:rPr>
                <w:rFonts w:ascii="Arial" w:hAnsi="Arial" w:cs="Arial" w:eastAsia="Arial"/>
                <w:b/>
                <w:i w:val="0"/>
                <w:sz w:val="16"/>
              </w:rPr>
            </w:r>
          </w:p>
        </w:tc>
        <w:tc>
          <w:tcPr>
            <w:tcW w:type="dxa" w:w="1702"/>
            <w:gridSpan w:val="2"/>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Ped./Rep./h</w:t>
            </w:r>
          </w:p>
        </w:tc>
        <w:tc>
          <w:tcPr>
            <w:tcW w:type="dxa" w:w="1702"/>
            <w:gridSpan w:val="2"/>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Utilización (%)</w:t>
            </w:r>
          </w:p>
        </w:tc>
        <w:tc>
          <w:tcPr>
            <w:tcW w:type="dxa" w:w="1702"/>
            <w:gridSpan w:val="2"/>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Dist./pedido (km)</w:t>
            </w:r>
          </w:p>
        </w:tc>
        <w:tc>
          <w:tcPr>
            <w:tcW w:type="dxa" w:w="1702"/>
            <w:gridSpan w:val="2"/>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Tam. agrup.</w:t>
            </w:r>
          </w:p>
        </w:tc>
        <w:tc>
          <w:tcPr>
            <w:tcW w:type="dxa" w:w="1702"/>
            <w:gridSpan w:val="2"/>
            <w:tcBorders>
              <w:top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Costo/ped. ($)</w:t>
            </w:r>
          </w:p>
        </w:tc>
      </w:tr>
      <w:tr>
        <w:tc>
          <w:tcPr>
            <w:tcW w:type="dxa" w:w="851"/>
            <w:tcBorders>
              <w:bottom w:val="single" w:sz="6" w:color="000000"/>
              <w:left w:val="nil"/>
              <w:right w:val="nil"/>
              <w:insideH w:val="nil"/>
              <w:insideV w:val="nil"/>
            </w:tcBorders>
          </w:tcPr>
          <w:p>
            <w:pPr>
              <w:spacing w:line="240" w:lineRule="auto" w:after="20" w:before="20"/>
              <w:jc w:val="left"/>
            </w:pPr>
            <w:r/>
            <w:r>
              <w:rPr>
                <w:rFonts w:ascii="Arial" w:hAnsi="Arial" w:cs="Arial" w:eastAsia="Arial"/>
                <w:b/>
                <w:i w:val="0"/>
                <w:sz w:val="16"/>
              </w:rPr>
              <w:t>Esc.</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FCFS</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RH</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FCFS</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RH</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FCFS</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RH</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FCFS</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RH</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FCFS</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6"/>
              </w:rPr>
              <w:t>RH</w:t>
            </w:r>
          </w:p>
        </w:tc>
      </w:tr>
      <w:tr>
        <w:tc>
          <w:tcPr>
            <w:tcW w:type="dxa" w:w="851"/>
            <w:tcBorders>
              <w:left w:val="nil"/>
              <w:right w:val="nil"/>
              <w:insideH w:val="nil"/>
              <w:insideV w:val="nil"/>
            </w:tcBorders>
          </w:tcPr>
          <w:p>
            <w:pPr>
              <w:spacing w:line="240" w:lineRule="auto" w:after="20" w:before="20"/>
              <w:jc w:val="left"/>
            </w:pPr>
            <w:r/>
            <w:r>
              <w:rPr>
                <w:rFonts w:ascii="Arial" w:hAnsi="Arial" w:cs="Arial" w:eastAsia="Arial"/>
                <w:b w:val="0"/>
                <w:i w:val="0"/>
                <w:sz w:val="16"/>
              </w:rPr>
              <w:t>S1</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1.43</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1.50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18.0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20.9</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4.49</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4.73</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1.77</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11.40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11.06</w:t>
            </w:r>
          </w:p>
        </w:tc>
      </w:tr>
      <w:tr>
        <w:tc>
          <w:tcPr>
            <w:tcW w:type="dxa" w:w="851"/>
            <w:tcBorders>
              <w:left w:val="nil"/>
              <w:right w:val="nil"/>
              <w:insideH w:val="nil"/>
              <w:insideV w:val="nil"/>
            </w:tcBorders>
          </w:tcPr>
          <w:p>
            <w:pPr>
              <w:spacing w:line="240" w:lineRule="auto" w:after="20" w:before="20"/>
              <w:jc w:val="left"/>
            </w:pPr>
            <w:r/>
            <w:r>
              <w:rPr>
                <w:rFonts w:ascii="Arial" w:hAnsi="Arial" w:cs="Arial" w:eastAsia="Arial"/>
                <w:b w:val="0"/>
                <w:i w:val="0"/>
                <w:sz w:val="16"/>
              </w:rPr>
              <w:t>S2</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2.07</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2.14</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27.3</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26.9</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4.77</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4.23</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2.28</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10.01</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10.07</w:t>
            </w:r>
          </w:p>
        </w:tc>
      </w:tr>
      <w:tr>
        <w:tc>
          <w:tcPr>
            <w:tcW w:type="dxa" w:w="851"/>
            <w:tcBorders>
              <w:left w:val="nil"/>
              <w:right w:val="nil"/>
              <w:insideH w:val="nil"/>
              <w:insideV w:val="nil"/>
            </w:tcBorders>
          </w:tcPr>
          <w:p>
            <w:pPr>
              <w:spacing w:line="240" w:lineRule="auto" w:after="20" w:before="20"/>
              <w:jc w:val="left"/>
            </w:pPr>
            <w:r/>
            <w:r>
              <w:rPr>
                <w:rFonts w:ascii="Arial" w:hAnsi="Arial" w:cs="Arial" w:eastAsia="Arial"/>
                <w:b w:val="0"/>
                <w:i w:val="0"/>
                <w:sz w:val="16"/>
              </w:rPr>
              <w:t>S3</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2.77</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2.90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38.4</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32.7</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5.04</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3.82</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2.67</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10.00</w:t>
            </w:r>
          </w:p>
        </w:tc>
        <w:tc>
          <w:tcPr>
            <w:tcW w:type="dxa" w:w="851"/>
            <w:tcBorders>
              <w:left w:val="nil"/>
              <w:right w:val="nil"/>
              <w:insideH w:val="nil"/>
              <w:insideV w:val="nil"/>
            </w:tcBorders>
          </w:tcPr>
          <w:p>
            <w:pPr>
              <w:spacing w:line="240" w:lineRule="auto" w:after="20" w:before="20"/>
              <w:jc w:val="center"/>
            </w:pPr>
            <w:r/>
            <w:r>
              <w:rPr>
                <w:rFonts w:ascii="Arial" w:hAnsi="Arial" w:cs="Arial" w:eastAsia="Arial"/>
                <w:b w:val="0"/>
                <w:i w:val="0"/>
                <w:sz w:val="16"/>
              </w:rPr>
              <w:t>10.00</w:t>
            </w:r>
          </w:p>
        </w:tc>
      </w:tr>
      <w:tr>
        <w:tc>
          <w:tcPr>
            <w:tcW w:type="dxa" w:w="851"/>
            <w:tcBorders>
              <w:bottom w:val="single" w:sz="6" w:color="000000"/>
              <w:left w:val="nil"/>
              <w:right w:val="nil"/>
              <w:insideH w:val="nil"/>
              <w:insideV w:val="nil"/>
            </w:tcBorders>
          </w:tcPr>
          <w:p>
            <w:pPr>
              <w:spacing w:line="240" w:lineRule="auto" w:after="20" w:before="20"/>
              <w:jc w:val="left"/>
            </w:pPr>
            <w:r/>
            <w:r>
              <w:rPr>
                <w:rFonts w:ascii="Arial" w:hAnsi="Arial" w:cs="Arial" w:eastAsia="Arial"/>
                <w:b w:val="0"/>
                <w:i w:val="0"/>
                <w:sz w:val="16"/>
              </w:rPr>
              <w:t>S4</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3.62</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4.26</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53.0</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40.7</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5.41</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3.25</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1.00</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3.07</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10.00</w:t>
            </w:r>
          </w:p>
        </w:tc>
        <w:tc>
          <w:tcPr>
            <w:tcW w:type="dxa" w:w="851"/>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6"/>
              </w:rPr>
              <w:t>10.00</w:t>
            </w:r>
          </w:p>
        </w:tc>
      </w:tr>
    </w:tbl>
    <w:p>
      <w:pPr>
        <w:spacing w:line="240" w:lineRule="auto" w:after="160" w:before="60"/>
        <w:jc w:val="left"/>
      </w:pPr>
      <w:r>
        <w:rPr>
          <w:rFonts w:ascii="Arial" w:hAnsi="Arial" w:cs="Arial" w:eastAsia="Arial"/>
          <w:b w:val="0"/>
          <w:i/>
          <w:sz w:val="18"/>
        </w:rPr>
        <w:t xml:space="preserve">Nota. </w:t>
      </w:r>
      <w:r>
        <w:rPr>
          <w:rFonts w:ascii="Arial" w:hAnsi="Arial" w:cs="Arial" w:eastAsia="Arial"/>
          <w:b w:val="0"/>
          <w:i w:val="0"/>
          <w:sz w:val="18"/>
        </w:rPr>
        <w:t>Cambios relativos de RH respecto a FCFS en S4: +17.7 % en productividad, −23.2 % en utilización y −39.9 % en distancia por pedido. Fuente: elaboración propia.</w:t>
      </w:r>
    </w:p>
    <w:p>
      <w:pPr>
        <w:spacing w:line="240" w:lineRule="auto" w:after="60" w:before="0"/>
        <w:jc w:val="both"/>
      </w:pPr>
      <w:r>
        <w:rPr>
          <w:rFonts w:ascii="Arial" w:hAnsi="Arial" w:cs="Arial" w:eastAsia="Arial"/>
          <w:b w:val="0"/>
          <w:i w:val="0"/>
          <w:sz w:val="24"/>
        </w:rPr>
        <w:t>La productividad —pedidos entregados por repartidor por hora— es consistentemente superior bajo RH: de +3.4 % a +4.9 % en S1 a S3 y hasta +17.7 % en S4, ganancia explicada por el agrupamiento. La utilización, porcentaje del turno en conducción efectiva, presenta un patrón a primera vista contraintuitivo: es menor bajo RH en S2 a S4, hasta −23.2 % en S4. Lejos de indicar ociosidad, refleja mayor eficiencia kilométrica, pues los agrupamientos reducen la distancia por pedido y cada repartidor completa sus entregas en menos tiempo de conducción. En efecto, la distancia por pedido pasa de ser ligeramente mayor en S1 (+5.3 %, por desvíos de agrupamientos pequeños sin masa para amortizarlos) a ser consistentemente menor desde S2, con una reducción del 39.9 % en S4 —de 5.41 a 3.25 km—.</w:t>
      </w:r>
    </w:p>
    <w:p>
      <w:pPr>
        <w:spacing w:line="240" w:lineRule="auto" w:after="60" w:before="0"/>
        <w:jc w:val="both"/>
      </w:pPr>
      <w:r>
        <w:rPr>
          <w:rFonts w:ascii="Arial" w:hAnsi="Arial" w:cs="Arial" w:eastAsia="Arial"/>
          <w:b w:val="0"/>
          <w:i w:val="0"/>
          <w:sz w:val="24"/>
        </w:rPr>
        <w:t>Bajo FCFS cada repartidor recibe órdenes individuales, por lo que el tamaño promedio de agrupamiento es siempre 1.0. Bajo RH crece monotónicamente con la saturación, de 1.77 en S1 a 3.07 en S4, lo que evidencia la adaptación dinámica del algoritmo a través del parámetro Z_t. La Figura 2 desglosa esa adaptación: en S1 el 54.2 % de los pedidos se despacha individualmente, mientras que en S4 el 70.3 % viaja en agrupamientos de tres o cuatro órdenes. El costo por pedido converge al pago variable p₁ = $10 conforme aumenta la saturación; solo en S1, donde muchos repartidores no alcanzan el umbral variable y perciben el pago mínimo garantizado, se eleva a $11.40 bajo FCFS y $11.06 bajo RH. Es decir, RH entrega mejoras sustanciales de servicio sin incrementar el costo laboral por pedido.</w:t>
      </w:r>
    </w:p>
    <w:p>
      <w:pPr>
        <w:keepNext/>
        <w:spacing w:before="160" w:after="40"/>
        <w:jc w:val="center"/>
      </w:pPr>
      <w:r>
        <w:drawing>
          <wp:inline xmlns:a="http://schemas.openxmlformats.org/drawingml/2006/main" xmlns:pic="http://schemas.openxmlformats.org/drawingml/2006/picture">
            <wp:extent cx="3566160" cy="1758077"/>
            <wp:docPr id="2" name="Picture 2"/>
            <wp:cNvGraphicFramePr>
              <a:graphicFrameLocks noChangeAspect="1"/>
            </wp:cNvGraphicFramePr>
            <a:graphic>
              <a:graphicData uri="http://schemas.openxmlformats.org/drawingml/2006/picture">
                <pic:pic>
                  <pic:nvPicPr>
                    <pic:cNvPr id="0" name="fig_bundle_distribution_1200dpi.png"/>
                    <pic:cNvPicPr/>
                  </pic:nvPicPr>
                  <pic:blipFill>
                    <a:blip r:embed="rId17"/>
                    <a:stretch>
                      <a:fillRect/>
                    </a:stretch>
                  </pic:blipFill>
                  <pic:spPr>
                    <a:xfrm>
                      <a:off x="0" y="0"/>
                      <a:ext cx="3566160" cy="1758077"/>
                    </a:xfrm>
                    <a:prstGeom prst="rect"/>
                  </pic:spPr>
                </pic:pic>
              </a:graphicData>
            </a:graphic>
          </wp:inline>
        </w:drawing>
      </w:r>
    </w:p>
    <w:p>
      <w:pPr>
        <w:spacing w:line="240" w:lineRule="auto" w:after="200" w:before="0"/>
        <w:jc w:val="center"/>
      </w:pPr>
      <w:r>
        <w:rPr>
          <w:rFonts w:ascii="Arial" w:hAnsi="Arial" w:cs="Arial" w:eastAsia="Arial"/>
          <w:b/>
          <w:i w:val="0"/>
          <w:sz w:val="20"/>
        </w:rPr>
        <w:t xml:space="preserve">Figura 2. </w:t>
      </w:r>
      <w:r>
        <w:rPr>
          <w:rFonts w:ascii="Arial" w:hAnsi="Arial" w:cs="Arial" w:eastAsia="Arial"/>
          <w:b w:val="0"/>
          <w:i w:val="0"/>
          <w:sz w:val="20"/>
        </w:rPr>
        <w:t>Distribución del tamaño de agrupamiento bajo la política de horizonte rodante, por escenario.</w:t>
      </w:r>
      <w:r>
        <w:rPr>
          <w:rFonts w:ascii="Arial" w:hAnsi="Arial" w:cs="Arial" w:eastAsia="Arial"/>
          <w:b w:val="0"/>
          <w:i w:val="0"/>
          <w:sz w:val="20"/>
        </w:rPr>
        <w:t xml:space="preserve"> Fuente: elaboración propia.</w:t>
      </w:r>
    </w:p>
    <w:p>
      <w:pPr>
        <w:keepNext/>
        <w:spacing w:line="240" w:lineRule="auto" w:after="60" w:before="100"/>
        <w:jc w:val="both"/>
      </w:pPr>
      <w:r>
        <w:rPr>
          <w:rFonts w:ascii="Arial" w:hAnsi="Arial" w:cs="Arial" w:eastAsia="Arial"/>
          <w:b/>
          <w:i w:val="0"/>
          <w:sz w:val="24"/>
        </w:rPr>
        <w:t>Análisis estadístico</w:t>
      </w:r>
    </w:p>
    <w:p>
      <w:pPr>
        <w:spacing w:line="240" w:lineRule="auto" w:after="60" w:before="0"/>
        <w:jc w:val="both"/>
      </w:pPr>
      <w:r>
        <w:rPr>
          <w:rFonts w:ascii="Arial" w:hAnsi="Arial" w:cs="Arial" w:eastAsia="Arial"/>
          <w:b w:val="0"/>
          <w:i w:val="0"/>
          <w:sz w:val="24"/>
        </w:rPr>
        <w:t>La Tabla 4 consolida la inferencia primaria. La convención de signos es Δ̄ = media de FCFS menos media de RH, por lo que en CtD un valor positivo favorece a RH y en cumplimiento un valor negativo favorece a RH.</w:t>
      </w:r>
    </w:p>
    <w:p>
      <w:pPr>
        <w:keepNext/>
        <w:spacing w:line="240" w:lineRule="auto" w:after="0" w:before="160"/>
        <w:jc w:val="left"/>
      </w:pPr>
      <w:r>
        <w:rPr>
          <w:rFonts w:ascii="Arial" w:hAnsi="Arial" w:cs="Arial" w:eastAsia="Arial"/>
          <w:b/>
          <w:i w:val="0"/>
          <w:sz w:val="24"/>
        </w:rPr>
        <w:t>Tabla 4</w:t>
      </w:r>
    </w:p>
    <w:p>
      <w:pPr>
        <w:keepNext/>
        <w:spacing w:line="240" w:lineRule="auto" w:after="80" w:before="0"/>
        <w:jc w:val="left"/>
      </w:pPr>
      <w:r>
        <w:rPr>
          <w:rFonts w:ascii="Arial" w:hAnsi="Arial" w:cs="Arial" w:eastAsia="Arial"/>
          <w:b w:val="0"/>
          <w:i/>
          <w:sz w:val="24"/>
        </w:rPr>
        <w:t>Prueba de Wilcoxon de rangos con signo a nivel de semilla (n = 7).</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792"/>
            <w:tcBorders>
              <w:top w:val="single" w:sz="6" w:color="000000"/>
              <w:bottom w:val="single" w:sz="6" w:color="000000"/>
              <w:left w:val="nil"/>
              <w:right w:val="nil"/>
              <w:insideH w:val="nil"/>
              <w:insideV w:val="nil"/>
            </w:tcBorders>
          </w:tcPr>
          <w:p>
            <w:pPr>
              <w:spacing w:line="240" w:lineRule="auto" w:after="20" w:before="20"/>
              <w:jc w:val="left"/>
            </w:pPr>
            <w:r/>
            <w:r>
              <w:rPr>
                <w:rFonts w:ascii="Arial" w:hAnsi="Arial" w:cs="Arial" w:eastAsia="Arial"/>
                <w:b/>
                <w:i w:val="0"/>
                <w:sz w:val="18"/>
              </w:rPr>
              <w:t>Esc.</w:t>
            </w:r>
          </w:p>
        </w:tc>
        <w:tc>
          <w:tcPr>
            <w:tcW w:type="dxa" w:w="1440"/>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Métrica</w:t>
            </w:r>
          </w:p>
        </w:tc>
        <w:tc>
          <w:tcPr>
            <w:tcW w:type="dxa" w:w="1008"/>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FCFS</w:t>
            </w:r>
          </w:p>
        </w:tc>
        <w:tc>
          <w:tcPr>
            <w:tcW w:type="dxa" w:w="1008"/>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RH</w:t>
            </w:r>
          </w:p>
        </w:tc>
        <w:tc>
          <w:tcPr>
            <w:tcW w:type="dxa" w:w="2736"/>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Δ̄ [IC 95 %]</w:t>
            </w:r>
          </w:p>
        </w:tc>
        <w:tc>
          <w:tcPr>
            <w:tcW w:type="dxa" w:w="1008"/>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p</w:t>
            </w:r>
          </w:p>
        </w:tc>
        <w:tc>
          <w:tcPr>
            <w:tcW w:type="dxa" w:w="1224"/>
            <w:tcBorders>
              <w:top w:val="single" w:sz="6" w:color="000000"/>
              <w:bottom w:val="single" w:sz="6" w:color="000000"/>
              <w:left w:val="nil"/>
              <w:right w:val="nil"/>
              <w:insideH w:val="nil"/>
              <w:insideV w:val="nil"/>
            </w:tcBorders>
          </w:tcPr>
          <w:p>
            <w:pPr>
              <w:spacing w:line="240" w:lineRule="auto" w:after="20" w:before="20"/>
              <w:jc w:val="center"/>
            </w:pPr>
            <w:r/>
            <w:r>
              <w:rPr>
                <w:rFonts w:ascii="Arial" w:hAnsi="Arial" w:cs="Arial" w:eastAsia="Arial"/>
                <w:b/>
                <w:i w:val="0"/>
                <w:sz w:val="18"/>
              </w:rPr>
              <w:t>r pareado</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S1</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CtD (min)</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10.10</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20.38</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−10.28 [−10.64; −9.93]</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S1</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Cumpl. (%)</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100.0</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99.2</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+0.8 [+0.4; +1.2]</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S2</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CtD (min)</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16.68</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22.74</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−6.06 [−7.79; −4.32]</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S2</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Cumpl. (%)</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91.7</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97.0</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−5.4 [−7.6; −3.2]</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S3</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CtD (min)</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35.79</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25.52</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+10.27 [+7.19; +13.35]</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S3</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Cumpl. (%)</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76.3</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90.2</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−14.0 [−15.5; −12.5]</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left w:val="nil"/>
              <w:right w:val="nil"/>
              <w:insideH w:val="nil"/>
              <w:insideV w:val="nil"/>
            </w:tcBorders>
          </w:tcPr>
          <w:p>
            <w:pPr>
              <w:spacing w:line="240" w:lineRule="auto" w:after="20" w:before="20"/>
              <w:jc w:val="left"/>
            </w:pPr>
            <w:r/>
            <w:r>
              <w:rPr>
                <w:rFonts w:ascii="Arial" w:hAnsi="Arial" w:cs="Arial" w:eastAsia="Arial"/>
                <w:b w:val="0"/>
                <w:i w:val="0"/>
                <w:sz w:val="18"/>
              </w:rPr>
              <w:t>S4</w:t>
            </w:r>
          </w:p>
        </w:tc>
        <w:tc>
          <w:tcPr>
            <w:tcW w:type="dxa" w:w="1440"/>
            <w:tcBorders>
              <w:left w:val="nil"/>
              <w:right w:val="nil"/>
              <w:insideH w:val="nil"/>
              <w:insideV w:val="nil"/>
            </w:tcBorders>
          </w:tcPr>
          <w:p>
            <w:pPr>
              <w:spacing w:line="240" w:lineRule="auto" w:after="20" w:before="20"/>
              <w:jc w:val="center"/>
            </w:pPr>
            <w:r/>
            <w:r>
              <w:rPr>
                <w:rFonts w:ascii="Arial" w:hAnsi="Arial" w:cs="Arial" w:eastAsia="Arial"/>
                <w:b w:val="0"/>
                <w:i w:val="0"/>
                <w:sz w:val="18"/>
              </w:rPr>
              <w:t>CtD (min)</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75.41</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32.26</w:t>
            </w:r>
          </w:p>
        </w:tc>
        <w:tc>
          <w:tcPr>
            <w:tcW w:type="dxa" w:w="2736"/>
            <w:tcBorders>
              <w:left w:val="nil"/>
              <w:right w:val="nil"/>
              <w:insideH w:val="nil"/>
              <w:insideV w:val="nil"/>
            </w:tcBorders>
          </w:tcPr>
          <w:p>
            <w:pPr>
              <w:spacing w:line="240" w:lineRule="auto" w:after="20" w:before="20"/>
              <w:jc w:val="center"/>
            </w:pPr>
            <w:r/>
            <w:r>
              <w:rPr>
                <w:rFonts w:ascii="Arial" w:hAnsi="Arial" w:cs="Arial" w:eastAsia="Arial"/>
                <w:b w:val="0"/>
                <w:i w:val="0"/>
                <w:sz w:val="18"/>
              </w:rPr>
              <w:t>+43.15 [+38.91; +47.39]</w:t>
            </w:r>
          </w:p>
        </w:tc>
        <w:tc>
          <w:tcPr>
            <w:tcW w:type="dxa" w:w="1008"/>
            <w:tcBorders>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r>
        <w:tc>
          <w:tcPr>
            <w:tcW w:type="dxa" w:w="792"/>
            <w:tcBorders>
              <w:bottom w:val="single" w:sz="6" w:color="000000"/>
              <w:left w:val="nil"/>
              <w:right w:val="nil"/>
              <w:insideH w:val="nil"/>
              <w:insideV w:val="nil"/>
            </w:tcBorders>
          </w:tcPr>
          <w:p>
            <w:pPr>
              <w:spacing w:line="240" w:lineRule="auto" w:after="20" w:before="20"/>
              <w:jc w:val="left"/>
            </w:pPr>
            <w:r/>
            <w:r>
              <w:rPr>
                <w:rFonts w:ascii="Arial" w:hAnsi="Arial" w:cs="Arial" w:eastAsia="Arial"/>
                <w:b w:val="0"/>
                <w:i w:val="0"/>
                <w:sz w:val="18"/>
              </w:rPr>
              <w:t>S4</w:t>
            </w:r>
          </w:p>
        </w:tc>
        <w:tc>
          <w:tcPr>
            <w:tcW w:type="dxa" w:w="1440"/>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Cumpl. (%)</w:t>
            </w:r>
          </w:p>
        </w:tc>
        <w:tc>
          <w:tcPr>
            <w:tcW w:type="dxa" w:w="1008"/>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61.2</w:t>
            </w:r>
          </w:p>
        </w:tc>
        <w:tc>
          <w:tcPr>
            <w:tcW w:type="dxa" w:w="1008"/>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78.3</w:t>
            </w:r>
          </w:p>
        </w:tc>
        <w:tc>
          <w:tcPr>
            <w:tcW w:type="dxa" w:w="2736"/>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−17.1 [−20.1; −14.1]</w:t>
            </w:r>
          </w:p>
        </w:tc>
        <w:tc>
          <w:tcPr>
            <w:tcW w:type="dxa" w:w="1008"/>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0.0156</w:t>
            </w:r>
          </w:p>
        </w:tc>
        <w:tc>
          <w:tcPr>
            <w:tcW w:type="dxa" w:w="1224"/>
            <w:tcBorders>
              <w:bottom w:val="single" w:sz="6" w:color="000000"/>
              <w:left w:val="nil"/>
              <w:right w:val="nil"/>
              <w:insideH w:val="nil"/>
              <w:insideV w:val="nil"/>
            </w:tcBorders>
          </w:tcPr>
          <w:p>
            <w:pPr>
              <w:spacing w:line="240" w:lineRule="auto" w:after="20" w:before="20"/>
              <w:jc w:val="center"/>
            </w:pPr>
            <w:r/>
            <w:r>
              <w:rPr>
                <w:rFonts w:ascii="Arial" w:hAnsi="Arial" w:cs="Arial" w:eastAsia="Arial"/>
                <w:b w:val="0"/>
                <w:i w:val="0"/>
                <w:sz w:val="18"/>
              </w:rPr>
              <w:t>−1.00</w:t>
            </w:r>
          </w:p>
        </w:tc>
      </w:tr>
    </w:tbl>
    <w:p>
      <w:pPr>
        <w:spacing w:line="240" w:lineRule="auto" w:after="160" w:before="60"/>
        <w:jc w:val="left"/>
      </w:pPr>
      <w:r>
        <w:rPr>
          <w:rFonts w:ascii="Arial" w:hAnsi="Arial" w:cs="Arial" w:eastAsia="Arial"/>
          <w:b w:val="0"/>
          <w:i/>
          <w:sz w:val="18"/>
        </w:rPr>
        <w:t xml:space="preserve">Nota. </w:t>
      </w:r>
      <w:r>
        <w:rPr>
          <w:rFonts w:ascii="Arial" w:hAnsi="Arial" w:cs="Arial" w:eastAsia="Arial"/>
          <w:b w:val="0"/>
          <w:i w:val="0"/>
          <w:sz w:val="18"/>
        </w:rPr>
        <w:t>p = 0.0156 es el valor mínimo alcanzable por la prueba de Wilcoxon con n = 7 cuando todas las diferencias comparten el mismo signo, condición que se cumple en las ocho pruebas. Fuente: elaboración propia.</w:t>
      </w:r>
    </w:p>
    <w:p>
      <w:pPr>
        <w:spacing w:line="240" w:lineRule="auto" w:after="60" w:before="0"/>
        <w:jc w:val="both"/>
      </w:pPr>
      <w:r>
        <w:rPr>
          <w:rFonts w:ascii="Arial" w:hAnsi="Arial" w:cs="Arial" w:eastAsia="Arial"/>
          <w:b w:val="0"/>
          <w:i w:val="0"/>
          <w:sz w:val="24"/>
        </w:rPr>
        <w:t>Los intervalos de confianza no incluyen al cero en ninguna fila, de modo que los efectos son consistentes en las siete réplicas. La prueba ómnibus de Friedman sobre la matriz 7 × 4 de diferencias de CtD confirma que la magnitud del efecto varía significativamente entre regímenes (χ²_F = 21.0; p &lt; 0.001), lo que justifica el análisis estratificado por escenario en lugar de un promedio global. Conviene señalar que tanto el valor p de Wilcoxon como el estadístico de Friedman se hallan en su valor extremo alcanzable para este tamaño muestral: con siete réplicas y concordancia perfecta de rangos la prueba no puede arrojar evidencia más fuerte, por lo que la magnitud de las diferencias y sus intervalos resultan más informativos que el valor p en sí mismo.</w:t>
      </w:r>
    </w:p>
    <w:p>
      <w:pPr>
        <w:keepNext/>
        <w:spacing w:line="240" w:lineRule="auto" w:after="60" w:before="100"/>
        <w:jc w:val="both"/>
      </w:pPr>
      <w:r>
        <w:rPr>
          <w:rFonts w:ascii="Arial" w:hAnsi="Arial" w:cs="Arial" w:eastAsia="Arial"/>
          <w:b/>
          <w:i w:val="0"/>
          <w:sz w:val="24"/>
        </w:rPr>
        <w:t>Discusión</w:t>
      </w:r>
    </w:p>
    <w:p>
      <w:pPr>
        <w:spacing w:line="240" w:lineRule="auto" w:after="60" w:before="0"/>
        <w:jc w:val="both"/>
      </w:pPr>
      <w:r>
        <w:rPr>
          <w:rFonts w:ascii="Arial" w:hAnsi="Arial" w:cs="Arial" w:eastAsia="Arial"/>
          <w:b w:val="0"/>
          <w:i w:val="0"/>
          <w:sz w:val="24"/>
        </w:rPr>
        <w:t>Los resultados revelan dos regímenes con una zona de transición identificable. En baja saturación (S1 y S2) la política reactiva logra menores tiempos promedio porque despacha sin latencia de agrupamiento; sin embargo, ya en S2 aparece una señal temprana de la ventaja de la anticipación, con mayor cumplimiento del objetivo y una reducción del exceso superior al 96 %. En saturación media y alta (S3 y S4) RH supera a FCFS en todas las métricas de calidad, con reducciones del CtD del 28.7 % al 57.2 % y la eliminación total de pedidos no entregados. Las curvas de CtD se cruzan entre r = 26 y r = 35 (Figura 3), lo que ofrece un criterio práctico: por debajo de unos 26 pedidos por repartidor conviene despachar de forma reactiva y por encima de 35 la anticipación resulta claramente ventajosa.</w:t>
      </w:r>
    </w:p>
    <w:p>
      <w:pPr>
        <w:keepNext/>
        <w:spacing w:before="160" w:after="40"/>
        <w:jc w:val="center"/>
      </w:pPr>
      <w:r>
        <w:drawing>
          <wp:inline xmlns:a="http://schemas.openxmlformats.org/drawingml/2006/main" xmlns:pic="http://schemas.openxmlformats.org/drawingml/2006/picture">
            <wp:extent cx="3383280" cy="2528682"/>
            <wp:docPr id="3" name="Picture 3"/>
            <wp:cNvGraphicFramePr>
              <a:graphicFrameLocks noChangeAspect="1"/>
            </wp:cNvGraphicFramePr>
            <a:graphic>
              <a:graphicData uri="http://schemas.openxmlformats.org/drawingml/2006/picture">
                <pic:pic>
                  <pic:nvPicPr>
                    <pic:cNvPr id="0" name="fig_kpi_vs_ratio_1200dpi.png"/>
                    <pic:cNvPicPr/>
                  </pic:nvPicPr>
                  <pic:blipFill>
                    <a:blip r:embed="rId18"/>
                    <a:stretch>
                      <a:fillRect/>
                    </a:stretch>
                  </pic:blipFill>
                  <pic:spPr>
                    <a:xfrm>
                      <a:off x="0" y="0"/>
                      <a:ext cx="3383280" cy="2528682"/>
                    </a:xfrm>
                    <a:prstGeom prst="rect"/>
                  </pic:spPr>
                </pic:pic>
              </a:graphicData>
            </a:graphic>
          </wp:inline>
        </w:drawing>
      </w:r>
    </w:p>
    <w:p>
      <w:pPr>
        <w:spacing w:line="240" w:lineRule="auto" w:after="200" w:before="0"/>
        <w:jc w:val="center"/>
      </w:pPr>
      <w:r>
        <w:rPr>
          <w:rFonts w:ascii="Arial" w:hAnsi="Arial" w:cs="Arial" w:eastAsia="Arial"/>
          <w:b/>
          <w:i w:val="0"/>
          <w:sz w:val="20"/>
        </w:rPr>
        <w:t xml:space="preserve">Figura 3. </w:t>
      </w:r>
      <w:r>
        <w:rPr>
          <w:rFonts w:ascii="Arial" w:hAnsi="Arial" w:cs="Arial" w:eastAsia="Arial"/>
          <w:b w:val="0"/>
          <w:i w:val="0"/>
          <w:sz w:val="20"/>
        </w:rPr>
        <w:t>Evolución de los indicadores principales en función de la razón de saturación. El cruce de las curvas de Click-to-Door entre los ratios 26 y 35 marca la transición de régimen.</w:t>
      </w:r>
      <w:r>
        <w:rPr>
          <w:rFonts w:ascii="Arial" w:hAnsi="Arial" w:cs="Arial" w:eastAsia="Arial"/>
          <w:b w:val="0"/>
          <w:i w:val="0"/>
          <w:sz w:val="20"/>
        </w:rPr>
        <w:t xml:space="preserve"> Fuente: elaboración propia.</w:t>
      </w:r>
    </w:p>
    <w:p>
      <w:pPr>
        <w:spacing w:line="240" w:lineRule="auto" w:after="60" w:before="0"/>
        <w:jc w:val="both"/>
      </w:pPr>
      <w:r>
        <w:rPr>
          <w:rFonts w:ascii="Arial" w:hAnsi="Arial" w:cs="Arial" w:eastAsia="Arial"/>
          <w:b w:val="0"/>
          <w:i w:val="0"/>
          <w:sz w:val="24"/>
        </w:rPr>
        <w:t>Contrastados con la literatura, estos hallazgos superan el rango de mejora que Reyes et al. (2018) reportan al pasar de asignación reactiva a horizonte rodante en ciudades estadounidenses con trazado de cuadrícula. La interpretación más plausible es que la topología de La Paz —de menor conectividad y mayor variabilidad de distancias— amplifica el valor de la coordinación: cuando cada desvío es costoso, agrupar pedidos que comparten corredor rinde más que en una retícula donde casi todas las rutas son equivalentes. El resultado es coherente con la advertencia de Boyacı et al. (2021) y con las mediciones de Figliozzi (2007), y sugiere que las conclusiones obtenidas con distancias euclidianas podrían estar subestimando sistemáticamente el beneficio de las políticas anticipatorias.</w:t>
      </w:r>
    </w:p>
    <w:p>
      <w:pPr>
        <w:spacing w:line="240" w:lineRule="auto" w:after="60" w:before="0"/>
        <w:jc w:val="both"/>
      </w:pPr>
      <w:r>
        <w:rPr>
          <w:rFonts w:ascii="Arial" w:hAnsi="Arial" w:cs="Arial" w:eastAsia="Arial"/>
          <w:b w:val="0"/>
          <w:i w:val="0"/>
          <w:sz w:val="24"/>
        </w:rPr>
        <w:t>Los resultados deben interpretarse considerando las limitaciones del modelo: la demanda es sintética; los tiempos de preparación y de servicio son homogéneos; la red vial se asume estática, sin congestión dinámica; y la inferencia descansa en siete réplicas por la falla ya descrita.</w:t>
      </w:r>
    </w:p>
    <w:p>
      <w:pPr>
        <w:keepNext/>
        <w:spacing w:line="240" w:lineRule="auto" w:after="80" w:before="140"/>
        <w:jc w:val="both"/>
      </w:pPr>
      <w:r>
        <w:rPr>
          <w:rFonts w:ascii="Arial" w:hAnsi="Arial" w:cs="Arial" w:eastAsia="Arial"/>
          <w:b/>
          <w:i w:val="0"/>
          <w:sz w:val="24"/>
        </w:rPr>
        <w:t>IV. CONCLUSIONES</w:t>
      </w:r>
    </w:p>
    <w:p>
      <w:pPr>
        <w:spacing w:line="240" w:lineRule="auto" w:after="60" w:before="0"/>
        <w:jc w:val="both"/>
      </w:pPr>
      <w:r>
        <w:rPr>
          <w:rFonts w:ascii="Arial" w:hAnsi="Arial" w:cs="Arial" w:eastAsia="Arial"/>
          <w:b w:val="0"/>
          <w:i w:val="0"/>
          <w:sz w:val="24"/>
        </w:rPr>
        <w:t>Se desarrolló y evaluó un entorno de simulación reproducible para el Meal Delivery Routing Problem que integra tiempos de viaje reales sobre la red vial de La Paz, Baja California Sur, utilizando exclusivamente software de código abierto. El objetivo general se cumplió: se ejecutaron 56 corridas válidas sobre la red real y se cuantificaron las diferencias entre ambas políticas con pruebas estadísticas que respetan la estructura pareada del diseño.</w:t>
      </w:r>
    </w:p>
    <w:p>
      <w:pPr>
        <w:spacing w:line="240" w:lineRule="auto" w:after="60" w:before="0"/>
        <w:jc w:val="both"/>
      </w:pPr>
      <w:r>
        <w:rPr>
          <w:rFonts w:ascii="Arial" w:hAnsi="Arial" w:cs="Arial" w:eastAsia="Arial"/>
          <w:b w:val="0"/>
          <w:i w:val="0"/>
          <w:sz w:val="24"/>
        </w:rPr>
        <w:t>La hipótesis se verifica de forma condicional al régimen de saturación, y esa condicionalidad es el hallazgo central. La relación causa-efecto que explica ambos regímenes es la siguiente: la anticipación tiene un costo cierto —la latencia del ciclo de optimización y la espera para consolidar pedidos— y un beneficio que depende de la densidad de la cola. Cuando la flota es holgada (S1 y S2) no existe cola suficiente para amortizar ese costo y la política reactiva entrega antes; cuando la flota se restringe (S3 y S4) la cola crece, los agrupamientos alcanzan tres o más pedidos y el beneficio de coordinar supera con amplitud a la latencia: el Click-to-Door promedio se reduce un 57.2 %, su percentil 90 un 77.1 %, el cumplimiento del objetivo mejora en 17.1 puntos porcentuales y desaparecen los pedidos no entregados. La distancia por pedido cae hasta un 39.9 % sin incremento del costo laboral unitario, lo que confirma que la mejora de servicio no se compra con más recursos sino con mejor coordinación.</w:t>
      </w:r>
    </w:p>
    <w:p>
      <w:pPr>
        <w:spacing w:line="240" w:lineRule="auto" w:after="60" w:before="0"/>
        <w:jc w:val="both"/>
      </w:pPr>
      <w:r>
        <w:rPr>
          <w:rFonts w:ascii="Arial" w:hAnsi="Arial" w:cs="Arial" w:eastAsia="Arial"/>
          <w:b w:val="0"/>
          <w:i w:val="0"/>
          <w:sz w:val="24"/>
        </w:rPr>
        <w:t>Las contribuciones principales son tres. Primera, un entorno de simulación reproducible y enteramente abierto, aplicado por primera vez a una ciudad latinoamericana de escala media, que elimina la dependencia de interfaces comerciales. Segunda, la evidencia empírica de un punto de cruce entre 26 y 35 pedidos por repartidor, criterio directamente utilizable por un operador para decidir qué política aplicar. Tercera, la constatación de que los beneficios del horizonte rodante se amplifican sobre una topología vial real e irregular, superando las mejoras reportadas para redes de cuadrícula, lo que advierte contra la generalización de resultados obtenidos con distancias euclidianas.</w:t>
      </w:r>
    </w:p>
    <w:p>
      <w:pPr>
        <w:spacing w:line="240" w:lineRule="auto" w:after="60" w:before="0"/>
        <w:jc w:val="both"/>
      </w:pPr>
      <w:r>
        <w:rPr>
          <w:rFonts w:ascii="Arial" w:hAnsi="Arial" w:cs="Arial" w:eastAsia="Arial"/>
          <w:b w:val="0"/>
          <w:i w:val="0"/>
          <w:sz w:val="24"/>
        </w:rPr>
        <w:t>Como trabajo futuro se plantea diagnosticar la condición de borde que invalidó tres semillas, sustituir la demanda sintética por datos operacionales de un operador local, incorporar perfiles de congestión dinámica en el motor de enrutamiento y localizar con mayor precisión el punto de cruce explorando valores intermedios de la razón de saturación.</w:t>
      </w:r>
    </w:p>
    <w:p>
      <w:pPr>
        <w:keepNext/>
        <w:spacing w:line="240" w:lineRule="auto" w:after="80" w:before="140"/>
        <w:jc w:val="both"/>
      </w:pPr>
      <w:r>
        <w:rPr>
          <w:rFonts w:ascii="Arial" w:hAnsi="Arial" w:cs="Arial" w:eastAsia="Arial"/>
          <w:b/>
          <w:i w:val="0"/>
          <w:sz w:val="24"/>
        </w:rPr>
        <w:t>REFERENCIAS BIBLIOGRÁFICAS</w:t>
      </w:r>
    </w:p>
    <w:p>
      <w:pPr>
        <w:spacing w:line="240" w:lineRule="auto" w:after="40" w:before="0"/>
        <w:ind w:left="720" w:hanging="720"/>
        <w:jc w:val="both"/>
      </w:pPr>
      <w:r>
        <w:rPr>
          <w:rFonts w:ascii="Arial" w:hAnsi="Arial" w:cs="Arial" w:eastAsia="Arial"/>
          <w:b w:val="0"/>
          <w:i w:val="0"/>
          <w:sz w:val="24"/>
        </w:rPr>
        <w:t>Boeing, G. (2021). Street network models and indicators for every urban area in the world. Geographical Analysis, 53(3), 482–508. https://doi.org/10.1111/gean.12281</w:t>
      </w:r>
    </w:p>
    <w:p>
      <w:pPr>
        <w:spacing w:line="240" w:lineRule="auto" w:after="40" w:before="0"/>
        <w:ind w:left="720" w:hanging="720"/>
        <w:jc w:val="both"/>
      </w:pPr>
      <w:r>
        <w:rPr>
          <w:rFonts w:ascii="Arial" w:hAnsi="Arial" w:cs="Arial" w:eastAsia="Arial"/>
          <w:b w:val="0"/>
          <w:i w:val="0"/>
          <w:sz w:val="24"/>
        </w:rPr>
        <w:t>Boyacı, B., Dang, T. H., &amp; Letchford, A. N. (2021). Vehicle routing on road networks: How good is Euclidean approximation? Computers &amp; Operations Research, 129, 105197. https://doi.org/10.1016/j.cor.2020.105197</w:t>
      </w:r>
    </w:p>
    <w:p>
      <w:pPr>
        <w:spacing w:line="240" w:lineRule="auto" w:after="40" w:before="0"/>
        <w:ind w:left="720" w:hanging="720"/>
        <w:jc w:val="both"/>
      </w:pPr>
      <w:r>
        <w:rPr>
          <w:rFonts w:ascii="Arial" w:hAnsi="Arial" w:cs="Arial" w:eastAsia="Arial"/>
          <w:b w:val="0"/>
          <w:i w:val="0"/>
          <w:sz w:val="24"/>
        </w:rPr>
        <w:t>Dantzig, G. B., &amp; Ramser, J. H. (1959). The truck dispatching problem. Management Science, 6(1), 80–91. https://doi.org/10.1287/mnsc.6.1.80</w:t>
      </w:r>
    </w:p>
    <w:p>
      <w:pPr>
        <w:spacing w:line="240" w:lineRule="auto" w:after="40" w:before="0"/>
        <w:ind w:left="720" w:hanging="720"/>
        <w:jc w:val="both"/>
      </w:pPr>
      <w:r>
        <w:rPr>
          <w:rFonts w:ascii="Arial" w:hAnsi="Arial" w:cs="Arial" w:eastAsia="Arial"/>
          <w:b w:val="0"/>
          <w:i w:val="0"/>
          <w:sz w:val="24"/>
        </w:rPr>
        <w:t>Figliozzi, M. A. (2007). Analysis of the efficiency of urban commercial vehicle tours: Data collection, methodology, and policy implications. Transportation Research Part B: Methodological, 41(9), 1014–1032. https://doi.org/10.1016/j.trb.2007.04.006</w:t>
      </w:r>
    </w:p>
    <w:p>
      <w:pPr>
        <w:spacing w:line="240" w:lineRule="auto" w:after="40" w:before="0"/>
        <w:ind w:left="720" w:hanging="720"/>
        <w:jc w:val="both"/>
      </w:pPr>
      <w:r>
        <w:rPr>
          <w:rFonts w:ascii="Arial" w:hAnsi="Arial" w:cs="Arial" w:eastAsia="Arial"/>
          <w:b w:val="0"/>
          <w:i w:val="0"/>
          <w:sz w:val="24"/>
        </w:rPr>
        <w:t>Friedman, M. (1937). The use of ranks to avoid the assumption of normality implicit in the analysis of variance. Journal of the American Statistical Association, 32(200), 675–701. https://doi.org/10.1080/01621459.1937.10503522</w:t>
      </w:r>
    </w:p>
    <w:p>
      <w:pPr>
        <w:spacing w:line="240" w:lineRule="auto" w:after="40" w:before="0"/>
        <w:ind w:left="720" w:hanging="720"/>
        <w:jc w:val="both"/>
      </w:pPr>
      <w:r>
        <w:rPr>
          <w:rFonts w:ascii="Arial" w:hAnsi="Arial" w:cs="Arial" w:eastAsia="Arial"/>
          <w:b w:val="0"/>
          <w:i w:val="0"/>
          <w:sz w:val="24"/>
        </w:rPr>
        <w:t>Geisberger, R., Sanders, P., Schultes, D., &amp; Delling, D. (2008). Contraction hierarchies: Faster and simpler hierarchical routing in road networks. En Experimental Algorithms (WEA 2008) (Vol. 5038, pp. 319–333). Springer. https://doi.org/10.1007/978-3-540-68552-4_24</w:t>
      </w:r>
    </w:p>
    <w:p>
      <w:pPr>
        <w:spacing w:line="240" w:lineRule="auto" w:after="40" w:before="0"/>
        <w:ind w:left="720" w:hanging="720"/>
        <w:jc w:val="both"/>
      </w:pPr>
      <w:r>
        <w:rPr>
          <w:rFonts w:ascii="Arial" w:hAnsi="Arial" w:cs="Arial" w:eastAsia="Arial"/>
          <w:b w:val="0"/>
          <w:i w:val="0"/>
          <w:sz w:val="24"/>
        </w:rPr>
        <w:t>Hurlbert, S. H. (1984). Pseudoreplication and the design of ecological field experiments. Ecological Monographs, 54(2), 187–211. https://doi.org/10.2307/1942661</w:t>
      </w:r>
    </w:p>
    <w:p>
      <w:pPr>
        <w:spacing w:line="240" w:lineRule="auto" w:after="40" w:before="0"/>
        <w:ind w:left="720" w:hanging="720"/>
        <w:jc w:val="both"/>
      </w:pPr>
      <w:r>
        <w:rPr>
          <w:rFonts w:ascii="Arial" w:hAnsi="Arial" w:cs="Arial" w:eastAsia="Arial"/>
          <w:b w:val="0"/>
          <w:i w:val="0"/>
          <w:sz w:val="24"/>
        </w:rPr>
        <w:t>Jazemi, R., Alidadiani, E., Ahn, K., &amp; Jang, J. (2023). A review of literature on vehicle routing problems of last-mile delivery in urban areas. Applied Sciences, 13(24), 13015. https://doi.org/10.3390/app132413015</w:t>
      </w:r>
    </w:p>
    <w:p>
      <w:pPr>
        <w:spacing w:line="240" w:lineRule="auto" w:after="40" w:before="0"/>
        <w:ind w:left="720" w:hanging="720"/>
        <w:jc w:val="both"/>
      </w:pPr>
      <w:r>
        <w:rPr>
          <w:rFonts w:ascii="Arial" w:hAnsi="Arial" w:cs="Arial" w:eastAsia="Arial"/>
          <w:b w:val="0"/>
          <w:i w:val="0"/>
          <w:sz w:val="24"/>
        </w:rPr>
        <w:t>Kuhn, H. W. (1955). The Hungarian method for the assignment problem. Naval Research Logistics Quarterly, 2(1–2), 83–97. https://doi.org/10.1002/nav.3800020109</w:t>
      </w:r>
    </w:p>
    <w:p>
      <w:pPr>
        <w:spacing w:line="240" w:lineRule="auto" w:after="40" w:before="0"/>
        <w:ind w:left="720" w:hanging="720"/>
        <w:jc w:val="both"/>
      </w:pPr>
      <w:r>
        <w:rPr>
          <w:rFonts w:ascii="Arial" w:hAnsi="Arial" w:cs="Arial" w:eastAsia="Arial"/>
          <w:b w:val="0"/>
          <w:i w:val="0"/>
          <w:sz w:val="24"/>
        </w:rPr>
        <w:t>Laporte, G. (2009). Fifty years of vehicle routing. Transportation Science, 43(4), 408–416. https://doi.org/10.1287/trsc.1090.0301</w:t>
      </w:r>
    </w:p>
    <w:p>
      <w:pPr>
        <w:spacing w:line="240" w:lineRule="auto" w:after="40" w:before="0"/>
        <w:ind w:left="720" w:hanging="720"/>
        <w:jc w:val="both"/>
      </w:pPr>
      <w:r>
        <w:rPr>
          <w:rFonts w:ascii="Arial" w:hAnsi="Arial" w:cs="Arial" w:eastAsia="Arial"/>
          <w:b w:val="0"/>
          <w:i w:val="0"/>
          <w:sz w:val="24"/>
        </w:rPr>
        <w:t>Larsen, J. (2000). The dynamic vehicle routing problem: Survey of classifications. Computers &amp; Operations Research, 27(10), 103–122. https://doi.org/10.1016/S0305-0548(99)00100-X</w:t>
      </w:r>
    </w:p>
    <w:p>
      <w:pPr>
        <w:spacing w:line="240" w:lineRule="auto" w:after="40" w:before="0"/>
        <w:ind w:left="720" w:hanging="720"/>
        <w:jc w:val="both"/>
      </w:pPr>
      <w:r>
        <w:rPr>
          <w:rFonts w:ascii="Arial" w:hAnsi="Arial" w:cs="Arial" w:eastAsia="Arial"/>
          <w:b w:val="0"/>
          <w:i w:val="0"/>
          <w:sz w:val="24"/>
        </w:rPr>
        <w:t>Muñoz-Villamizar, A., Solano-Charris, E. L., Reyes-Rubiano, L., &amp; Faulin, J. (2021). Measuring disruptions in last-mile delivery operations. Logistics, 5(1), 17. https://doi.org/10.3390/logistics5010017</w:t>
      </w:r>
    </w:p>
    <w:p>
      <w:pPr>
        <w:spacing w:line="240" w:lineRule="auto" w:after="40" w:before="0"/>
        <w:ind w:left="720" w:hanging="720"/>
        <w:jc w:val="both"/>
      </w:pPr>
      <w:r>
        <w:rPr>
          <w:rFonts w:ascii="Arial" w:hAnsi="Arial" w:cs="Arial" w:eastAsia="Arial"/>
          <w:b w:val="0"/>
          <w:i w:val="0"/>
          <w:sz w:val="24"/>
        </w:rPr>
        <w:t>Pereira, R. H. M., Saraiva, M., Herszenhut, D., Braga, C. K. V., &amp; Conway, M. W. (2021). r5r: Rapid realistic routing on multimodal transport networks with R5 in R. Findings. https://doi.org/10.32866/001c.21262</w:t>
      </w:r>
    </w:p>
    <w:p>
      <w:pPr>
        <w:spacing w:line="240" w:lineRule="auto" w:after="40" w:before="0"/>
        <w:ind w:left="720" w:hanging="720"/>
        <w:jc w:val="both"/>
      </w:pPr>
      <w:r>
        <w:rPr>
          <w:rFonts w:ascii="Arial" w:hAnsi="Arial" w:cs="Arial" w:eastAsia="Arial"/>
          <w:b w:val="0"/>
          <w:i w:val="0"/>
          <w:sz w:val="24"/>
        </w:rPr>
        <w:t>Pillac, V., Gendreau, M., Guéret, C., &amp; Medaglia, A. L. (2013). A review of dynamic vehicle routing problems. European Journal of Operational Research, 225(1), 1–11. https://doi.org/10.1016/j.ejor.2012.08.015</w:t>
      </w:r>
    </w:p>
    <w:p>
      <w:pPr>
        <w:spacing w:line="240" w:lineRule="auto" w:after="40" w:before="0"/>
        <w:ind w:left="720" w:hanging="720"/>
        <w:jc w:val="both"/>
      </w:pPr>
      <w:r>
        <w:rPr>
          <w:rFonts w:ascii="Arial" w:hAnsi="Arial" w:cs="Arial" w:eastAsia="Arial"/>
          <w:b w:val="0"/>
          <w:i w:val="0"/>
          <w:sz w:val="24"/>
        </w:rPr>
        <w:t>Reyes, D., Erera, A., Savelsbergh, M., Sahasrabudhe, S., &amp; O'Neil, R. (2018). The meal delivery routing problem. Optimization Online. http://www.optimization-online.org/DB_FILE/2018/03/6512.pdf</w:t>
      </w:r>
    </w:p>
    <w:p>
      <w:pPr>
        <w:spacing w:line="240" w:lineRule="auto" w:after="40" w:before="0"/>
        <w:ind w:left="720" w:hanging="720"/>
        <w:jc w:val="both"/>
      </w:pPr>
      <w:r>
        <w:rPr>
          <w:rFonts w:ascii="Arial" w:hAnsi="Arial" w:cs="Arial" w:eastAsia="Arial"/>
          <w:b w:val="0"/>
          <w:i w:val="0"/>
          <w:sz w:val="24"/>
        </w:rPr>
        <w:t>Wilcoxon, F. (1945). Individual comparisons by ranking methods. Biometrics Bulletin, 1(6), 80–83. https://doi.org/10.2307/3001968</w:t>
      </w:r>
    </w:p>
    <w:p>
      <w:pPr>
        <w:spacing w:line="240" w:lineRule="auto" w:after="40" w:before="0"/>
        <w:ind w:left="720" w:hanging="720"/>
        <w:jc w:val="both"/>
      </w:pPr>
      <w:r>
        <w:rPr>
          <w:rFonts w:ascii="Arial" w:hAnsi="Arial" w:cs="Arial" w:eastAsia="Arial"/>
          <w:b w:val="0"/>
          <w:i w:val="0"/>
          <w:sz w:val="24"/>
        </w:rPr>
        <w:t>Wu, L., Wen, H., Hu, H., Wang, Y., Li, Y., Wang, J., Ye, J., Zhang, H., &amp; Xu, M. (2023). LaDe: The first comprehensive last-mile delivery dataset from industry. En Proceedings of the 32nd ACM International Conference on Information and Knowledge Management (pp. 2619–2628). ACM. https://doi.org/10.1145/3583780.3614820</w:t>
      </w:r>
    </w:p>
    <w:p>
      <w:pPr>
        <w:spacing w:line="240" w:lineRule="auto" w:after="40" w:before="0"/>
        <w:ind w:left="720" w:hanging="720"/>
        <w:jc w:val="both"/>
      </w:pPr>
      <w:r>
        <w:rPr>
          <w:rFonts w:ascii="Arial" w:hAnsi="Arial" w:cs="Arial" w:eastAsia="Arial"/>
          <w:b w:val="0"/>
          <w:i w:val="0"/>
          <w:sz w:val="24"/>
        </w:rPr>
        <w:t>Yıldız, B., &amp; Savelsbergh, M. (2019). Provably high-quality solutions for the meal delivery routing problem. Transportation Science, 53(5), 1372–1388. https://doi.org/10.1287/trsc.2018.0887</w:t>
      </w:r>
    </w:p>
    <w:sectPr w:rsidR="00D1596D">
      <w:footerReference w:type="default" r:id="rId13"/>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883D81" w14:textId="77777777" w:rsidR="008B7824" w:rsidRDefault="008B7824">
      <w:pPr>
        <w:spacing w:after="0" w:line="240" w:lineRule="auto"/>
      </w:pPr>
      <w:r>
        <w:separator/>
      </w:r>
    </w:p>
  </w:endnote>
  <w:endnote w:type="continuationSeparator" w:id="0">
    <w:p w14:paraId="6F43365B" w14:textId="77777777" w:rsidR="008B7824" w:rsidRDefault="008B7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0" w14:textId="77777777" w:rsidR="00D1596D" w:rsidRDefault="00D1596D">
    <w:pPr>
      <w:tabs>
        <w:tab w:val="center" w:pos="4419"/>
        <w:tab w:val="right" w:pos="8838"/>
      </w:tabs>
      <w:spacing w:after="0" w:line="240" w:lineRule="auto"/>
      <w:rPr>
        <w:rFonts w:ascii="Arial" w:eastAsia="Arial" w:hAnsi="Arial" w:cs="Arial"/>
        <w:b/>
        <w:sz w:val="20"/>
        <w:szCs w:val="20"/>
      </w:rPr>
    </w:pPr>
  </w:p>
  <w:p w14:paraId="00000051" w14:textId="77777777" w:rsidR="00D1596D" w:rsidRDefault="00D1596D">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52" w14:textId="77777777" w:rsidR="00D1596D" w:rsidRDefault="00D159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7C549" w14:textId="77777777" w:rsidR="008B7824" w:rsidRDefault="008B7824">
      <w:pPr>
        <w:spacing w:after="0" w:line="240" w:lineRule="auto"/>
      </w:pPr>
      <w:r>
        <w:separator/>
      </w:r>
    </w:p>
  </w:footnote>
  <w:footnote w:type="continuationSeparator" w:id="0">
    <w:p w14:paraId="1163EE7E" w14:textId="77777777" w:rsidR="008B7824" w:rsidRDefault="008B7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4F" w14:textId="77777777" w:rsidR="00D1596D" w:rsidRDefault="00D1596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8F4AEA"/>
    <w:multiLevelType w:val="multilevel"/>
    <w:tmpl w:val="7C26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96D"/>
    <w:rsid w:val="00161FFF"/>
    <w:rsid w:val="005B2E2C"/>
    <w:rsid w:val="008B7824"/>
    <w:rsid w:val="00C42343"/>
    <w:rsid w:val="00D1596D"/>
    <w:rsid w:val="00D814AF"/>
    <w:rsid w:val="00ED0288"/>
    <w:rsid w:val="00F132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240C4"/>
  <w15:docId w15:val="{79C9DE64-35A8-4C8C-9EF6-DDFA79B4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D62F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semiHidden/>
    <w:unhideWhenUsed/>
    <w:qFormat/>
    <w:rsid w:val="00D62F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semiHidden/>
    <w:unhideWhenUsed/>
    <w:qFormat/>
    <w:rsid w:val="00D62F5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NormalWeb">
    <w:name w:val="Normal (Web)"/>
    <w:basedOn w:val="Normal"/>
    <w:uiPriority w:val="99"/>
    <w:semiHidden/>
    <w:unhideWhenUsed/>
    <w:rsid w:val="008F7984"/>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E5434E"/>
    <w:pPr>
      <w:ind w:left="720"/>
      <w:contextualSpacing/>
    </w:pPr>
  </w:style>
  <w:style w:type="paragraph" w:styleId="Encabezado">
    <w:name w:val="header"/>
    <w:basedOn w:val="Normal"/>
    <w:link w:val="EncabezadoCar"/>
    <w:uiPriority w:val="99"/>
    <w:unhideWhenUsed/>
    <w:rsid w:val="004E31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3154"/>
  </w:style>
  <w:style w:type="paragraph" w:styleId="Piedepgina">
    <w:name w:val="footer"/>
    <w:basedOn w:val="Normal"/>
    <w:link w:val="PiedepginaCar"/>
    <w:uiPriority w:val="99"/>
    <w:unhideWhenUsed/>
    <w:rsid w:val="004E31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3154"/>
  </w:style>
  <w:style w:type="character" w:customStyle="1" w:styleId="Ttulo3Car">
    <w:name w:val="Título 3 Car"/>
    <w:basedOn w:val="Fuentedeprrafopredeter"/>
    <w:link w:val="Ttulo3"/>
    <w:uiPriority w:val="9"/>
    <w:rsid w:val="00D62F5B"/>
    <w:rPr>
      <w:rFonts w:ascii="Times New Roman" w:eastAsia="Times New Roman" w:hAnsi="Times New Roman" w:cs="Times New Roman"/>
      <w:b/>
      <w:bCs/>
      <w:sz w:val="27"/>
      <w:szCs w:val="27"/>
      <w:lang w:eastAsia="es-MX"/>
    </w:rPr>
  </w:style>
  <w:style w:type="character" w:styleId="Hipervnculo">
    <w:name w:val="Hyperlink"/>
    <w:basedOn w:val="Fuentedeprrafopredeter"/>
    <w:unhideWhenUsed/>
    <w:rsid w:val="00D62F5B"/>
    <w:rPr>
      <w:color w:val="0000FF"/>
      <w:u w:val="single"/>
    </w:rPr>
  </w:style>
  <w:style w:type="character" w:customStyle="1" w:styleId="Ttulo2Car">
    <w:name w:val="Título 2 Car"/>
    <w:basedOn w:val="Fuentedeprrafopredeter"/>
    <w:link w:val="Ttulo2"/>
    <w:uiPriority w:val="9"/>
    <w:semiHidden/>
    <w:rsid w:val="00D62F5B"/>
    <w:rPr>
      <w:rFonts w:asciiTheme="majorHAnsi" w:eastAsiaTheme="majorEastAsia" w:hAnsiTheme="majorHAnsi" w:cstheme="majorBidi"/>
      <w:color w:val="2E74B5" w:themeColor="accent1" w:themeShade="BF"/>
      <w:sz w:val="26"/>
      <w:szCs w:val="26"/>
    </w:rPr>
  </w:style>
  <w:style w:type="character" w:customStyle="1" w:styleId="Ttulo4Car">
    <w:name w:val="Título 4 Car"/>
    <w:basedOn w:val="Fuentedeprrafopredeter"/>
    <w:link w:val="Ttulo4"/>
    <w:uiPriority w:val="9"/>
    <w:semiHidden/>
    <w:rsid w:val="00D62F5B"/>
    <w:rPr>
      <w:rFonts w:asciiTheme="majorHAnsi" w:eastAsiaTheme="majorEastAsia" w:hAnsiTheme="majorHAnsi" w:cstheme="majorBidi"/>
      <w:i/>
      <w:iCs/>
      <w:color w:val="2E74B5" w:themeColor="accent1" w:themeShade="BF"/>
    </w:rPr>
  </w:style>
  <w:style w:type="table" w:styleId="Tablaconcuadrcula">
    <w:name w:val="Table Grid"/>
    <w:basedOn w:val="Tablanormal"/>
    <w:uiPriority w:val="39"/>
    <w:rsid w:val="00736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72BBA"/>
    <w:rPr>
      <w:sz w:val="16"/>
      <w:szCs w:val="16"/>
    </w:rPr>
  </w:style>
  <w:style w:type="paragraph" w:styleId="Textocomentario">
    <w:name w:val="annotation text"/>
    <w:basedOn w:val="Normal"/>
    <w:link w:val="TextocomentarioCar"/>
    <w:uiPriority w:val="99"/>
    <w:semiHidden/>
    <w:unhideWhenUsed/>
    <w:rsid w:val="00E72BB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72BBA"/>
    <w:rPr>
      <w:sz w:val="20"/>
      <w:szCs w:val="20"/>
    </w:rPr>
  </w:style>
  <w:style w:type="paragraph" w:styleId="Asuntodelcomentario">
    <w:name w:val="annotation subject"/>
    <w:basedOn w:val="Textocomentario"/>
    <w:next w:val="Textocomentario"/>
    <w:link w:val="AsuntodelcomentarioCar"/>
    <w:uiPriority w:val="99"/>
    <w:semiHidden/>
    <w:unhideWhenUsed/>
    <w:rsid w:val="00E72BBA"/>
    <w:rPr>
      <w:b/>
      <w:bCs/>
    </w:rPr>
  </w:style>
  <w:style w:type="character" w:customStyle="1" w:styleId="AsuntodelcomentarioCar">
    <w:name w:val="Asunto del comentario Car"/>
    <w:basedOn w:val="TextocomentarioCar"/>
    <w:link w:val="Asuntodelcomentario"/>
    <w:uiPriority w:val="99"/>
    <w:semiHidden/>
    <w:rsid w:val="00E72BBA"/>
    <w:rPr>
      <w:b/>
      <w:bCs/>
      <w:sz w:val="20"/>
      <w:szCs w:val="20"/>
    </w:rPr>
  </w:style>
  <w:style w:type="paragraph" w:styleId="Textodeglobo">
    <w:name w:val="Balloon Text"/>
    <w:basedOn w:val="Normal"/>
    <w:link w:val="TextodegloboCar"/>
    <w:uiPriority w:val="99"/>
    <w:semiHidden/>
    <w:unhideWhenUsed/>
    <w:rsid w:val="00E72BB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72BBA"/>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royectosacad.itescam.edu.mx/ecti/about/submission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D1bkGfzGW4rwSFFsdBZvfo4s5w==">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445</Words>
  <Characters>2453</Characters>
  <Application>Microsoft Office Word</Application>
  <DocSecurity>0</DocSecurity>
  <Lines>20</Lines>
  <Paragraphs>5</Paragraphs>
  <ScaleCrop>false</ScaleCrop>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Ivar Jesús Aguilar Guillermo</dc:creator>
  <cp:lastModifiedBy>itsva</cp:lastModifiedBy>
  <cp:revision>7</cp:revision>
  <dcterms:created xsi:type="dcterms:W3CDTF">2021-07-21T21:03:00Z</dcterms:created>
  <dcterms:modified xsi:type="dcterms:W3CDTF">2026-07-07T22:02:00Z</dcterms:modified>
</cp:coreProperties>
</file>