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F825C8" w14:textId="77777777" w:rsidR="00626FF5" w:rsidRDefault="00000000">
      <w:pPr>
        <w:spacing w:line="240" w:lineRule="auto"/>
        <w:jc w:val="center"/>
      </w:pPr>
      <w:r>
        <w:rPr>
          <w:rFonts w:ascii="Times New Roman" w:eastAsia="Times New Roman" w:hAnsi="Times New Roman" w:cs="Times New Roman"/>
          <w:b/>
          <w:sz w:val="24"/>
        </w:rPr>
        <w:t>LOGÍSTICA DE ÚLTIMA MILLA EN REDES VIALES REALES: UN ENFOQUE REPRODUCIBLE PARA EL MDRP EN LA PAZ, B.C.S.</w:t>
      </w:r>
    </w:p>
    <w:p w14:paraId="1ECE6358" w14:textId="77777777" w:rsidR="00626FF5" w:rsidRDefault="00000000">
      <w:pPr>
        <w:spacing w:after="0" w:line="240" w:lineRule="auto"/>
        <w:jc w:val="center"/>
      </w:pPr>
      <w:r>
        <w:rPr>
          <w:rFonts w:ascii="Times New Roman" w:eastAsia="Times New Roman" w:hAnsi="Times New Roman" w:cs="Times New Roman"/>
          <w:b/>
          <w:sz w:val="20"/>
        </w:rPr>
        <w:t>Sánchez Martínez, A. J. M.</w:t>
      </w:r>
      <w:r>
        <w:rPr>
          <w:rFonts w:ascii="Times New Roman" w:eastAsia="Times New Roman" w:hAnsi="Times New Roman" w:cs="Times New Roman"/>
          <w:b/>
          <w:sz w:val="20"/>
          <w:vertAlign w:val="superscript"/>
        </w:rPr>
        <w:t>1</w:t>
      </w:r>
      <w:r>
        <w:rPr>
          <w:rFonts w:ascii="Times New Roman" w:eastAsia="Times New Roman" w:hAnsi="Times New Roman" w:cs="Times New Roman"/>
          <w:b/>
          <w:sz w:val="20"/>
        </w:rPr>
        <w:t xml:space="preserve"> *</w:t>
      </w:r>
    </w:p>
    <w:p w14:paraId="6EC5D9D8" w14:textId="77777777" w:rsidR="00626FF5" w:rsidRDefault="00000000">
      <w:pPr>
        <w:spacing w:after="0" w:line="240" w:lineRule="auto"/>
        <w:jc w:val="center"/>
      </w:pPr>
      <w:r>
        <w:rPr>
          <w:rFonts w:ascii="Times New Roman" w:eastAsia="Times New Roman" w:hAnsi="Times New Roman" w:cs="Times New Roman"/>
          <w:b/>
          <w:sz w:val="20"/>
          <w:vertAlign w:val="superscript"/>
        </w:rPr>
        <w:t>1</w:t>
      </w:r>
      <w:r>
        <w:rPr>
          <w:rFonts w:ascii="Times New Roman" w:eastAsia="Times New Roman" w:hAnsi="Times New Roman" w:cs="Times New Roman"/>
          <w:b/>
          <w:sz w:val="20"/>
        </w:rPr>
        <w:t>Instituto Tecnológico de La Paz, Tecnológico Nacional de México (TecNM), alansama2906@gmail.com.</w:t>
      </w:r>
    </w:p>
    <w:p w14:paraId="37431A1F" w14:textId="77777777" w:rsidR="00626FF5" w:rsidRDefault="00000000">
      <w:pPr>
        <w:spacing w:after="160" w:line="240" w:lineRule="auto"/>
        <w:jc w:val="center"/>
      </w:pPr>
      <w:r>
        <w:rPr>
          <w:rFonts w:ascii="Times New Roman" w:eastAsia="Times New Roman" w:hAnsi="Times New Roman" w:cs="Times New Roman"/>
          <w:b/>
          <w:sz w:val="18"/>
        </w:rPr>
        <w:t>*Autor para correspondencia.</w:t>
      </w:r>
    </w:p>
    <w:p w14:paraId="244DEB42" w14:textId="77777777" w:rsidR="00626FF5" w:rsidRDefault="00000000">
      <w:pPr>
        <w:spacing w:line="240" w:lineRule="auto"/>
        <w:jc w:val="center"/>
      </w:pPr>
      <w:r>
        <w:rPr>
          <w:rFonts w:ascii="Times New Roman" w:eastAsia="Times New Roman" w:hAnsi="Times New Roman" w:cs="Times New Roman"/>
          <w:b/>
          <w:sz w:val="20"/>
        </w:rPr>
        <w:t xml:space="preserve">Área Temática: </w:t>
      </w:r>
      <w:r>
        <w:rPr>
          <w:rFonts w:ascii="Times New Roman" w:eastAsia="Times New Roman" w:hAnsi="Times New Roman" w:cs="Times New Roman"/>
          <w:sz w:val="20"/>
        </w:rPr>
        <w:t>Investigación</w:t>
      </w:r>
    </w:p>
    <w:p w14:paraId="5C470E34" w14:textId="77777777" w:rsidR="00626FF5" w:rsidRDefault="00000000">
      <w:pPr>
        <w:spacing w:after="80" w:line="240" w:lineRule="auto"/>
        <w:jc w:val="both"/>
      </w:pPr>
      <w:r>
        <w:rPr>
          <w:rFonts w:ascii="Times New Roman" w:eastAsia="Times New Roman" w:hAnsi="Times New Roman" w:cs="Times New Roman"/>
          <w:b/>
        </w:rPr>
        <w:t>RESUMEN</w:t>
      </w:r>
    </w:p>
    <w:p w14:paraId="2CF8C8D1" w14:textId="1ABF0DB2" w:rsidR="00626FF5" w:rsidRDefault="00000000">
      <w:pPr>
        <w:spacing w:after="160" w:line="240" w:lineRule="auto"/>
        <w:jc w:val="both"/>
      </w:pPr>
      <w:r>
        <w:rPr>
          <w:rFonts w:ascii="Times New Roman" w:eastAsia="Times New Roman" w:hAnsi="Times New Roman" w:cs="Times New Roman"/>
        </w:rPr>
        <w:t>La entrega de última milla concentra entre el 30 % y el 60 % del costo de una operación logística y se agrava en comida preparada por la urgencia y la demanda dinámica; la mayoría de los estudios del Meal Delivery Routing Problem usan distancias euclidianas, que subestiman los trayectos reales entre un 17 % y un 40 %. El objetivo fue evaluar la eficiencia operativa de una política anticipatoria de horizonte rodante frente a una reactiva First-Come, First-Served sobre la red vial real de La Paz, Baja California Sur. Se construyó un entorno de simulación de eventos discretos reproducible, basado exclusivamente en software libre (OpenStreetMap, OSRM y Docker), que sustituye la aproximación euclidiana por tiempos de viaje reales; la demanda se generó con un proceso de Poisson no homogéneo bimodal calibrado con el conjunto de datos LaDe, con 1 038 pedidos y 25 restaurantes, y ambas políticas se compararon de forma pareada en cuatro escenarios de saturación de flota con siete réplicas, contrastadas con la prueba de Wilcoxon de rangos con signo. Los resultados revelan dos regímenes: con flota holgada la reactiva entrega más rápido, pero a partir de la saturación media la anticipatoria reduce el Click-to-Door promedio hasta un 57.2 % y su percentil 90 hasta un 77.1 %, eleva el cumplimiento del objetivo de servicio en 17.1 puntos porcentuales y elimina los pedidos sin entregar. Se concluye que existe un punto de cruce entre 26 y 35 pedidos por repartidor donde la anticipación supera a la reactiva.</w:t>
      </w:r>
    </w:p>
    <w:p w14:paraId="5F3CD14A" w14:textId="77777777" w:rsidR="00626FF5" w:rsidRDefault="00000000">
      <w:pPr>
        <w:spacing w:line="240" w:lineRule="auto"/>
        <w:jc w:val="both"/>
      </w:pPr>
      <w:r>
        <w:rPr>
          <w:rFonts w:ascii="Times New Roman" w:eastAsia="Times New Roman" w:hAnsi="Times New Roman" w:cs="Times New Roman"/>
          <w:b/>
        </w:rPr>
        <w:t xml:space="preserve">Palabras clave: </w:t>
      </w:r>
      <w:r>
        <w:rPr>
          <w:rFonts w:ascii="Times New Roman" w:eastAsia="Times New Roman" w:hAnsi="Times New Roman" w:cs="Times New Roman"/>
        </w:rPr>
        <w:t>agrupamiento, OpenStreetMap, ruteo, simulación.</w:t>
      </w:r>
    </w:p>
    <w:p w14:paraId="3B35FC25" w14:textId="77777777" w:rsidR="00626FF5" w:rsidRDefault="00000000">
      <w:pPr>
        <w:spacing w:after="160" w:line="240" w:lineRule="auto"/>
        <w:jc w:val="both"/>
      </w:pPr>
      <w:r>
        <w:rPr>
          <w:rFonts w:ascii="Times New Roman" w:eastAsia="Times New Roman" w:hAnsi="Times New Roman" w:cs="Times New Roman"/>
          <w:b/>
        </w:rPr>
        <w:t xml:space="preserve">Abstract: </w:t>
      </w:r>
      <w:r>
        <w:rPr>
          <w:rFonts w:ascii="Times New Roman" w:eastAsia="Times New Roman" w:hAnsi="Times New Roman" w:cs="Times New Roman"/>
        </w:rPr>
        <w:t>Last-mile delivery accounts for 30 % to 60 % of the total cost of a logistics operation and, in the prepared-food segment, it is further strained by urgency and by demand revealed in real time; most studies on the Meal Delivery Routing Problem evaluate dispatching policies using Euclidean distances, which underestimate real travel by 17 % to 40 %. The objective was to evaluate the operational efficiency of an anticipatory rolling horizon policy against a reactive First-Come, First-Served policy on the real road network of La Paz, Baja California Sur. A reproducible discrete-event simulation environment was built exclusively with free and open-source software (OpenStreetMap, OSRM and Docker), replacing the Euclidean approximation with travel times computed over the road graph; demand was generated with a bimodal non-homogeneous Poisson process calibrated with the LaDe dataset, comprising approximately 1,038 orders and 25 restaurants, and both policies were compared in a paired design across four fleet saturation scenarios with seven valid replications, tested with the seed-level Wilcoxon signed-rank test. Results reveal two operating regimes: with an ample fleet the reactive policy delivers faster, but from medium saturation onward the anticipatory policy reduces mean Click-to-Door time by up to 57.2 % and its 90th percentile by up to 77.1 %, raises service-level compliance by 17.1 percentage points and completely eliminates undelivered orders. It is concluded that a crossover point exists between 26 and 35 orders per courier beyond which anticipation outperforms reactive assignment, a criterion applicable to fleet sizing in mid-sized cities.</w:t>
      </w:r>
    </w:p>
    <w:p w14:paraId="2116DF60" w14:textId="77777777" w:rsidR="00626FF5" w:rsidRDefault="00000000">
      <w:pPr>
        <w:spacing w:after="0" w:line="240" w:lineRule="auto"/>
        <w:jc w:val="both"/>
      </w:pPr>
      <w:r>
        <w:rPr>
          <w:rFonts w:ascii="Times New Roman" w:eastAsia="Times New Roman" w:hAnsi="Times New Roman" w:cs="Times New Roman"/>
          <w:b/>
        </w:rPr>
        <w:t xml:space="preserve">Keywords: </w:t>
      </w:r>
      <w:r>
        <w:rPr>
          <w:rFonts w:ascii="Times New Roman" w:eastAsia="Times New Roman" w:hAnsi="Times New Roman" w:cs="Times New Roman"/>
        </w:rPr>
        <w:t>bundling, OpenStreetMap, routing, simulation.</w:t>
      </w:r>
    </w:p>
    <w:sectPr w:rsidR="00626FF5">
      <w:footerReference w:type="default" r:id="rId7"/>
      <w:pgSz w:w="12240" w:h="15840"/>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6B7A9DFA" w14:textId="77777777" w:rsidR="00AB2254" w:rsidRDefault="00AB2254">
      <w:pPr>
        <w:spacing w:after="0" w:line="240" w:lineRule="auto"/>
      </w:pPr>
      <w:r>
        <w:separator/>
      </w:r>
    </w:p>
  </w:endnote>
  <w:endnote w:type="continuationSeparator" w:id="0">
    <w:p w14:paraId="0394D674" w14:textId="77777777" w:rsidR="00AB2254" w:rsidRDefault="00AB22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E380F9" w14:textId="77777777" w:rsidR="006C4419" w:rsidRDefault="006C4419">
    <w:pPr>
      <w:pBdr>
        <w:top w:val="nil"/>
        <w:left w:val="nil"/>
        <w:bottom w:val="nil"/>
        <w:right w:val="nil"/>
        <w:between w:val="nil"/>
      </w:pBdr>
      <w:tabs>
        <w:tab w:val="center" w:pos="4419"/>
        <w:tab w:val="right" w:pos="8838"/>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9A92032" w14:textId="77777777" w:rsidR="00AB2254" w:rsidRDefault="00AB2254">
      <w:pPr>
        <w:spacing w:after="0" w:line="240" w:lineRule="auto"/>
      </w:pPr>
      <w:r>
        <w:separator/>
      </w:r>
    </w:p>
  </w:footnote>
  <w:footnote w:type="continuationSeparator" w:id="0">
    <w:p w14:paraId="55813759" w14:textId="77777777" w:rsidR="00AB2254" w:rsidRDefault="00AB2254">
      <w:pPr>
        <w:spacing w:after="0" w:line="240" w:lineRule="auto"/>
      </w:pPr>
      <w:r>
        <w:continuationSeparator/>
      </w:r>
    </w:p>
  </w:footnote>
</w:footnotes>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4419"/>
    <w:rsid w:val="001560D3"/>
    <w:rsid w:val="00184415"/>
    <w:rsid w:val="00187205"/>
    <w:rsid w:val="001949CD"/>
    <w:rsid w:val="00243D2B"/>
    <w:rsid w:val="00626FF5"/>
    <w:rsid w:val="00695292"/>
    <w:rsid w:val="006C4419"/>
    <w:rsid w:val="00852191"/>
    <w:rsid w:val="008B7680"/>
    <w:rsid w:val="00AB2254"/>
    <w:rsid w:val="00CE0320"/>
    <w:rsid w:val="00E5675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A0D947"/>
  <w15:docId w15:val="{79C9DE64-35A8-4C8C-9EF6-DDFA79B40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sz w:val="22"/>
        <w:szCs w:val="22"/>
        <w:lang w:val="es-MX" w:eastAsia="es-MX"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0" w:type="dxa"/>
        <w:left w:w="0" w:type="dxa"/>
        <w:bottom w:w="0" w:type="dxa"/>
        <w:right w:w="0" w:type="dxa"/>
      </w:tblCellMar>
    </w:tblPr>
  </w:style>
  <w:style w:type="table" w:customStyle="1" w:styleId="TableNormal2">
    <w:name w:val="TableNormal"/>
    <w:tblPr>
      <w:tblCellMar>
        <w:top w:w="0" w:type="dxa"/>
        <w:left w:w="0" w:type="dxa"/>
        <w:bottom w:w="0" w:type="dxa"/>
        <w:right w:w="0" w:type="dxa"/>
      </w:tblCellMar>
    </w:tblPr>
  </w:style>
  <w:style w:type="character" w:styleId="Hyperlink">
    <w:name w:val="Hyperlink"/>
    <w:basedOn w:val="DefaultParagraphFont"/>
    <w:uiPriority w:val="99"/>
    <w:unhideWhenUsed/>
    <w:rsid w:val="00C533B8"/>
    <w:rPr>
      <w:color w:val="0563C1" w:themeColor="hyperlink"/>
      <w:u w:val="single"/>
    </w:rPr>
  </w:style>
  <w:style w:type="paragraph" w:styleId="Header">
    <w:name w:val="header"/>
    <w:basedOn w:val="Normal"/>
    <w:link w:val="HeaderChar"/>
    <w:uiPriority w:val="99"/>
    <w:unhideWhenUsed/>
    <w:rsid w:val="00C533B8"/>
    <w:pPr>
      <w:tabs>
        <w:tab w:val="center" w:pos="4419"/>
        <w:tab w:val="right" w:pos="8838"/>
      </w:tabs>
      <w:spacing w:after="0" w:line="240" w:lineRule="auto"/>
    </w:pPr>
  </w:style>
  <w:style w:type="character" w:customStyle="1" w:styleId="HeaderChar">
    <w:name w:val="Header Char"/>
    <w:basedOn w:val="DefaultParagraphFont"/>
    <w:link w:val="Header"/>
    <w:uiPriority w:val="99"/>
    <w:rsid w:val="00C533B8"/>
    <w:rPr>
      <w:rFonts w:eastAsiaTheme="minorEastAsia"/>
      <w:lang w:val="en-US"/>
    </w:rPr>
  </w:style>
  <w:style w:type="paragraph" w:styleId="Footer">
    <w:name w:val="footer"/>
    <w:basedOn w:val="Normal"/>
    <w:link w:val="FooterChar"/>
    <w:uiPriority w:val="99"/>
    <w:unhideWhenUsed/>
    <w:rsid w:val="00C533B8"/>
    <w:pPr>
      <w:tabs>
        <w:tab w:val="center" w:pos="4419"/>
        <w:tab w:val="right" w:pos="8838"/>
      </w:tabs>
      <w:spacing w:after="0" w:line="240" w:lineRule="auto"/>
    </w:pPr>
  </w:style>
  <w:style w:type="character" w:customStyle="1" w:styleId="FooterChar">
    <w:name w:val="Footer Char"/>
    <w:basedOn w:val="DefaultParagraphFont"/>
    <w:link w:val="Footer"/>
    <w:uiPriority w:val="99"/>
    <w:rsid w:val="00C533B8"/>
    <w:rPr>
      <w:rFonts w:eastAsiaTheme="minorEastAsia"/>
      <w:lang w:val="en-US"/>
    </w:rPr>
  </w:style>
  <w:style w:type="character" w:styleId="FollowedHyperlink">
    <w:name w:val="FollowedHyperlink"/>
    <w:basedOn w:val="DefaultParagraphFont"/>
    <w:uiPriority w:val="99"/>
    <w:semiHidden/>
    <w:unhideWhenUsed/>
    <w:rsid w:val="00FF3E41"/>
    <w:rPr>
      <w:color w:val="954F72" w:themeColor="followed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UnresolvedMention">
    <w:name w:val="Unresolved Mention"/>
    <w:basedOn w:val="DefaultParagraphFont"/>
    <w:uiPriority w:val="99"/>
    <w:semiHidden/>
    <w:unhideWhenUsed/>
    <w:rsid w:val="001872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o1VH0iw5tkuCyp0DqIsnsqm47w==">CgMxLjAyDmguN3h5azQzNTc2cWdnMg5oLnYzNGh2aGkzdHk3aDIOaC5oam9jYXQ5cmc3eXEyDmguZmY2a2gxbnd4ODUwMg5oLnZ0enhpbmM2bW02MzIOaC5tOHJrYTcyZjF6YmoyDmgucXRvZnQ5N250dm04Mg1oLjFjZDF0dTg0NHRkMg5oLjRmaWFscnc3cGtxcjgAciExLUx0TWZzSVQwdzN5VHN3VzQtcWNrZkJqM21Oa3RKR0E=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Huawei</dc:creator>
  <cp:lastModifiedBy>Alan José Marcos Sánchez Martínez</cp:lastModifiedBy>
  <cp:revision>8</cp:revision>
  <dcterms:created xsi:type="dcterms:W3CDTF">2025-07-04T19:53:00Z</dcterms:created>
  <dcterms:modified xsi:type="dcterms:W3CDTF">2026-08-10T02:42:00Z</dcterms:modified>
</cp:coreProperties>
</file>