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CONGELADO A BORDO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Producto conserva su calidad y frescura, ya que es procesado y congelado en alta mar. Convirtiéndose así en el idoneo de una demanda exigente y de máximos estándares 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Posibilita su consumo crudo (sashimi grade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Entero (HOSO)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Formato: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Estuche: 6×2 kg. /  12×1 kg. / 15×800 gr. / a convenir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Tamaños: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L1 – 10/20 ppk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L2 – 21/30 ppk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L3 – 31/40 ppk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L4 – 41/60 ppk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Sin Cabeza (HLSO)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Formato: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IQF Bulk 1×10 kg. / 1×20 lb. / 1×25 lb.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IQF Retail: 10×1 kg. / 20×1 lb. / a convenir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Estuche: 6×2 kg. o 3×5 kg.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Bloque: 3×6 kg. o 2×10 kg.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Tamaños: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C1 – 30/55 ppk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C2 – 56/100 ppk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 (sin clasificar)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U/15 ppl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16/20 ppl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21/25 ppl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26/30 ppl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