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2A4A"/>
          <w:sz w:val="56"/>
          <w:szCs w:val="56"/>
        </w:rPr>
        <w:t xml:space="preserve">VanessaLoansHouston.com</w:t>
      </w:r>
    </w:p>
    <w:p>
      <w:pPr>
        <w:spacing w:after="60"/>
      </w:pPr>
      <w:r>
        <w:rPr>
          <w:color w:val="4A5568"/>
          <w:sz w:val="32"/>
          <w:szCs w:val="32"/>
        </w:rPr>
        <w:t xml:space="preserve">Website Specification &amp; Design Brief</w:t>
      </w:r>
    </w:p>
    <w:p>
      <w:pPr>
        <w:spacing w:after="400"/>
      </w:pPr>
      <w:r>
        <w:rPr>
          <w:i/>
          <w:iCs/>
          <w:color w:val="4A5568"/>
          <w:sz w:val="22"/>
          <w:szCs w:val="22"/>
        </w:rPr>
        <w:t xml:space="preserve">Prepared for Vanessa Martinez, Loan Officer  |  Draft v1  |  July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1. Project Overview &amp; Goals</w:t>
      </w:r>
    </w:p>
    <w:p>
      <w:pPr>
        <w:spacing w:after="120"/>
      </w:pPr>
      <w:r>
        <w:t xml:space="preserve">VanessaLoansHouston.com is a personal-brand lending website for Vanessa Martinez, built around two conversion goals that run in parallel rather than competing for attention: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1 — Borrowers: Make it effortless for a homebuyer or refinancer to understand their options and get to Vanessa's official loan application (hosted on her lending company's licensed platform) with as little friction as possible.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2 — Agents: Recruit real estate agents into a partnership program where Vanessa contributes to their marketing costs, positioning her as the lender of choice for their listings and buyer clients.</w:t>
      </w:r>
    </w:p>
    <w:p>
      <w:pPr>
        <w:spacing w:after="120"/>
      </w:pPr>
      <w:r>
        <w:t xml:space="preserve">The site is not the system of record for loan applications — it is a trust-building, education, and hand-off layer that always routes real applications to Vanessa's licensed company application link. Two AI-driven experiences (a conversational assistant and a set of smart calculators) sit on top of that layer to make the site feel modern, personal, and immediately useful rather than a static brochure.</w:t>
      </w:r>
    </w:p>
    <w:p>
      <w:pPr>
        <w:pStyle w:val="Heading2"/>
        <w:spacing w:after="150" w:before="300"/>
      </w:pPr>
      <w:r>
        <w:t xml:space="preserve">1.1 Compliance Note (read before building)</w:t>
      </w:r>
    </w:p>
    <w:p>
      <w:pPr>
        <w:spacing w:after="120"/>
      </w:pPr>
      <w:r>
        <w:t xml:space="preserve">Paying for or subsidizing an agent's marketing costs in exchange for referrals sits close to RESPA Section 8 anti-kickback rules, which prohibit payment for the referral of settlement service business. Common compliant structures instead split genuinely joint, equally-shared marketing expenses (co-branded flyers, joint ad spend, shared event costs) with both parties' logos and even cost-sharing — never a payment tied to referral volume. This spec assumes the “marketing co-op” is structured as bona-fide, equally-shared co-marketing rather than a referral fee. Vanessa's compliance/broker counsel should review the Partner page's offer language before launch. (This is not legal advice.)</w:t>
      </w:r>
    </w:p>
    <w:p>
      <w:pPr>
        <w:pStyle w:val="Heading1"/>
        <w:spacing w:after="200" w:before="400"/>
      </w:pPr>
      <w:r>
        <w:t xml:space="preserve">2. Research Summary: What Top Lender Sites Do Well</w:t>
      </w:r>
    </w:p>
    <w:p>
      <w:pPr>
        <w:spacing w:after="120"/>
      </w:pPr>
      <w:r>
        <w:t xml:space="preserve">A scan of leading mortgage/loan-officer sites and current lending-marketing guidance surfaced a consistent pattern: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Mobile-first: over 60% of mortgage research starts on a phone; top sites (Rocket, Better.com, LoanDepot) score 90+ on mobile usability.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CTAs outperform hard ones: “See If You Qualify” / “Get My Custom Rate” convert better than “Apply Now.”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first-step forms (5–7 fields), with progressive disclosure for the rest — reduces initial friction while still qualifying the lead.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signals matter: loan officer photo, NMLS ID, years of experience, testimonials, and loans-funded stats are standard on every high performing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Live/illustrative rate widgets give visitors a reason to return, even when exact rates require a licensed quoting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chat is now mainstream: mortgage sites using an AI assistant report roughly 35% more captured leads and cut response time from hours to under a minute by handling after-hours questions and pre-qualification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Agent/lender co-marketing is typically framed around shared, equally-funded activities (co-branded flyers, joint events, buyer seminars) rather than one-sided payments, both for compliance and because agents respond better to “partnership” framing than “subsidy” framing.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Sources reviewed: Muffin Group, 99designs, Empower LO, CyberOptik, BankingBridge, AIMultiple, Jarrett Stanley, ijungo, AP Mortgage, Homebot, and BeSmartee industry write-ups on mortgage site design and agent co-marketing (2025–2026).</w:t>
      </w:r>
    </w:p>
    <w:p>
      <w:pPr>
        <w:pStyle w:val="Heading1"/>
        <w:spacing w:after="200" w:before="400"/>
      </w:pPr>
      <w:r>
        <w:t xml:space="preserve">3. Brand Direction (Proposed — no existing assets)</w:t>
      </w:r>
    </w:p>
    <w:p>
      <w:pPr>
        <w:spacing w:after="120"/>
      </w:pPr>
      <w:r>
        <w:t xml:space="preserve">Since there's no existing brand kit, this spec proposes a direction rather than locking in final assets. Positioning: warm, competent, and personal — “your lender who happens to be a neighbor,” not a faceless bank.</w:t>
      </w:r>
    </w:p>
    <w:p>
      <w:pPr>
        <w:pStyle w:val="Heading3"/>
        <w:spacing w:after="100" w:before="200"/>
      </w:pPr>
      <w:r>
        <w:t xml:space="preserve">Visual identity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palette: deep navy (#1B2A4A) for trust/authority, warm gold accent (#C9A24B) for warmth and Houston-sunset energy, soft cream background (#F4F1EA), charcoal/slate for body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Typography: a confident serif or slab-serif for headlines (approachable authority), clean geometric sans for body and UI (Inter, Sofia Pro, or similar).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Photography: real photo of Vanessa (not stock) on hero and About; Houston skyline/neighborhood imagery as texture, not the star.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Tone of voice: plain-English, encouraging, zero jargon-shaming (“no dumb questions” energy) — explicitly counter-positioned against big-bank coldness.</w:t>
      </w:r>
    </w:p>
    <w:p>
      <w:pPr>
        <w:pStyle w:val="Heading3"/>
        <w:spacing w:after="100" w:before="200"/>
      </w:pPr>
      <w:r>
        <w:t xml:space="preserve">Logo concept</w:t>
      </w:r>
    </w:p>
    <w:p>
      <w:pPr>
        <w:spacing w:after="120"/>
      </w:pPr>
      <w:r>
        <w:t xml:space="preserve">Wordmark “Vanessa Martinez” in serif, with “Loans Houston” or a tagline in small-caps gold beneath — optionally paired with a simple monogram (VM inside a rounded house/keyhole shape) usable as a favicon and social avatar.</w:t>
      </w:r>
    </w:p>
    <w:p>
      <w:pPr>
        <w:pStyle w:val="Heading1"/>
        <w:spacing w:after="200" w:before="400"/>
      </w:pPr>
      <w:r>
        <w:t xml:space="preserve">4. Sitemap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900"/>
      </w:tblGrid>
      <w:tr>
        <w:tc>
          <w:tcPr>
            <w:tcW w:type="dxa" w:w="32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6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Primary Goal</w:t>
            </w:r>
          </w:p>
        </w:tc>
        <w:tc>
          <w:tcPr>
            <w:tcW w:type="dxa" w:w="49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Key Elements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Route both audiences instantly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Hero w/ dual CTA (Borrowers / Agents), AI chat launcher, trust bar, rate snapshot, testimonials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Get Pre-Qualified (Borrowers)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Educate + hand off to application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AI pre-qual chat, calculators, loan program cards, FAQ, final CTA to Vanessa's official application link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Loan Programs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Educate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Conventional, FHA, VA, USDA, Jumbo, Refi — plain-English explainer cards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Calculators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Self-serve engagement + soft lead capture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Payment estimator, affordability/pre-qual estimator, refinance break-even, rent vs. buy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Partner With Vanessa (Agents)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Recruit agents into co-marketing program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Program explainer, compliance-safe offer details, application form, agent testimonials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About Vanessa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Trust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Bio, NMLS ID, photo, credentials, community involvement, personal story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Reviews / Success Stories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Trust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Google/Zillow review embeds, video testimonials, before/after buyer stories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Resources / Blog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SEO + nurture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First-time buyer guides, rate-lock explainers, agent co-marketing playbook downloads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Contact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Conversion safety net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</w:rPr>
              <w:t xml:space="preserve">Phone, text, email, office hours, embedded map, AI chat</w:t>
            </w:r>
          </w:p>
        </w:tc>
      </w:tr>
    </w:tbl>
    <w:p>
      <w:pPr>
        <w:pStyle w:val="Heading1"/>
        <w:spacing w:after="200" w:before="400"/>
      </w:pPr>
      <w:r>
        <w:t xml:space="preserve">5. Page-by-Page Detail</w:t>
      </w:r>
    </w:p>
    <w:p>
      <w:pPr>
        <w:pStyle w:val="Heading2"/>
        <w:spacing w:after="150" w:before="300"/>
      </w:pPr>
      <w:r>
        <w:t xml:space="preserve">5.1 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Hero: full-width, Vanessa's photo + headline (“Houston home loans, made human.”) with two distinct CTA buttons: “See If You Qualify” (borrowers) and “Partner With Vanessa” (agents), visually separated so neither audience feels like an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AI chat launcher (bottom-right bubble) labeled “Ask Vanessa's Assistant”, available on every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bar directly under hero: NMLS ID, years licensed, $ volume funded, average close time, 5-star review 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“Which path are you on?” two-card split: Homebuyer/Refinance card vs. Real Estate Agent card, each linking deeper into its funnel.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Live-style rate snapshot widget (illustrative, refreshed periodically) with a disclaimer link to official rate 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proof carousel: 3–5 short video or text testimonials.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Footer: NMLS disclosures, Equal Housing Opportunity logo, licensed states, privacy/compliance links.</w:t>
      </w:r>
    </w:p>
    <w:p>
      <w:pPr>
        <w:pStyle w:val="Heading2"/>
        <w:spacing w:after="150" w:before="300"/>
      </w:pPr>
      <w:r>
        <w:t xml:space="preserve">5.2 Get Pre-Qualified (Borrower Funnel)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0: AI chat opens automatically with a friendly prompt — “Want to talk it through, or jump straight to a calculator?” — giving the visitor control.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(short form, 5 fields): purchase or refinance, timeline, estimated price/loan amount, credit range (self-reported buckets, not a hard pull), contact info.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(progressive): property location, down payment range, employment type — shown only after Step 1 to avoid early drop-off.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 screen: a plain-English “what this likely means for you” summary generated from the inputs (illustrative, not a firm quote), plus the primary CTA button: “Continue My Application with Vanessa” — this is the outbound link to her company's official licensed application portal.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CTA: “Text Vanessa Instead” (click-to-text) for people who'd rather talk to a human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microcopy near the hand-off button: “You'll finish your official application securely on [Company]'s licensed platform — Vanessa will already have your info.”</w:t>
      </w:r>
    </w:p>
    <w:p>
      <w:pPr>
        <w:pStyle w:val="Heading2"/>
        <w:spacing w:after="150" w:before="300"/>
      </w:pPr>
      <w:r>
        <w:t xml:space="preserve">5.3 Loan Programs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grid: Conventional, FHA, VA, USDA, Jumbo, Refinance/Cash-Out — each with a 2–3 sentence plain-English summary, “best for” tag (e.g., “Best for: first responders &amp; veterans” for VA), and a “See If I Qualify” CTA back into the funnel.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AI helper inline: “Not sure which program fits? Ask the assistant.”</w:t>
      </w:r>
    </w:p>
    <w:p>
      <w:pPr>
        <w:pStyle w:val="Heading2"/>
        <w:spacing w:after="150" w:before="300"/>
      </w:pPr>
      <w:r>
        <w:t xml:space="preserve">5.4 Calculators (AI-enhanced)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Payment Estimator: price, down payment, rate, term → estimated PITI breakdown with a chart.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Affordability / Pre-Qual Estimator: income, debts, down payment → estimated price range + DTI, with an AI-generated one-paragraph explanation of the result in plain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Refinance Break-Even Calculator: current rate/balance vs. new rate/closing costs → months-to-break-even.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Rent vs. Buy Comparison: side-by-side long-term cost estimate.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calculator ends in a soft capture: “Want this emailed to you, or want to talk it through with Vanessa?” (email capture is optional/skippable, never gated).</w:t>
      </w:r>
    </w:p>
    <w:p>
      <w:pPr>
        <w:pStyle w:val="Heading2"/>
        <w:spacing w:after="150" w:before="300"/>
      </w:pPr>
      <w:r>
        <w:t xml:space="preserve">5.5 Partner With Vanessa (Agent Recruiting)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reframes the value prop for agents: “Grow your listings. We'll help fund the marketing.”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explainer section: what “co-marketing” means in practice — joint social ad spend, co-branded open house materials, shared event costs, buyer-seminar hosting — framed as equally-shared, compliant partnership, with a plain note that details are structured to meet RESPA guidelines.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“What you get” grid: fast pre-approvals for your buyers, co-branded flyer/social templates, joint event support, dedicated communication line, transaction status updates.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testimonials / logos of brokerages already partnered.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form: name, brokerage, license #, markets served, monthly transaction volume, preferred contact — routes to Vanessa for manual approval (this is a relationship, not a self-serve signup).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assistant variant on this page: “Ask about the partner program” — tuned to answer agent-specific questions (compliance, what's covered, how co-marketing spend is split) rather than borrower questions.</w:t>
      </w:r>
    </w:p>
    <w:p>
      <w:pPr>
        <w:pStyle w:val="Heading2"/>
        <w:spacing w:after="150" w:before="300"/>
      </w:pPr>
      <w:r>
        <w:t xml:space="preserve">5.6 About Vanessa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story, headshot, NMLS ID, license states, years in business, community/local ties (important for a Houston-local trust signal).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video intro if available.</w:t>
      </w:r>
    </w:p>
    <w:p>
      <w:pPr>
        <w:pStyle w:val="Heading2"/>
        <w:spacing w:after="150" w:before="300"/>
      </w:pPr>
      <w:r>
        <w:t xml:space="preserve">5.7 Reviews / Success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Embedded Google/Zillow reviews, 2–3 longer-form written success stories, optional video testimonials.</w:t>
      </w:r>
    </w:p>
    <w:p>
      <w:pPr>
        <w:pStyle w:val="Heading2"/>
        <w:spacing w:after="150" w:before="300"/>
      </w:pPr>
      <w:r>
        <w:t xml:space="preserve">5.8 Resources / Blog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SEO-oriented articles: first-time buyer guide, credit-improvement tips, VA loan explainer, rate-lock timing, refinance signals.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dedicated “For Agents” resource sub-section: co-marketing playbook, market update one-pagers agents can forward to their clients.</w:t>
      </w:r>
    </w:p>
    <w:p>
      <w:pPr>
        <w:pStyle w:val="Heading2"/>
        <w:spacing w:after="150" w:before="300"/>
      </w:pPr>
      <w:r>
        <w:t xml:space="preserve">5.9 Contact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(click-to-call), text (click-to-text), email, office hours, embedded map, AI chat launcher, and a short contact form.</w:t>
      </w:r>
    </w:p>
    <w:p>
      <w:pPr>
        <w:pStyle w:val="Heading1"/>
        <w:spacing w:after="200" w:before="400"/>
      </w:pPr>
      <w:r>
        <w:t xml:space="preserve">6. AI Features — Detailed Spec</w:t>
      </w:r>
    </w:p>
    <w:p>
      <w:pPr>
        <w:pStyle w:val="Heading2"/>
        <w:spacing w:after="150" w:before="300"/>
      </w:pPr>
      <w:r>
        <w:t xml:space="preserve">6.1 AI Chat Assistant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chat bubble on every page, context-aware of which page it was opened from (borrower vs. agent tone).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Capabilities: answer FAQ (loan types, documents needed, timeline, credit questions), walk a visitor through a lightweight pre-qualification conversation, explain the agent partnership program, schedule a call/text with Vanessa, hand off silently to a human via SMS/email notification when a conversation shows high intent.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Guardrails: never gives a binding rate quote or credit decision; always states it's an assistant, not Vanessa, when asked; always offers a human hand-off; logged conversations feed Vanessa's CRM as leads with full context so she isn't starting cold.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Suggested build: an LLM (Claude or GPT-4-class) with a small custom knowledge base of Vanessa's programs/FAQ, wired to a lead-capture webhook (CRM or simple email/Slack notification) — not a hand-rolled rules bot.</w:t>
      </w:r>
    </w:p>
    <w:p>
      <w:pPr>
        <w:pStyle w:val="Heading2"/>
        <w:spacing w:after="150" w:before="300"/>
      </w:pPr>
      <w:r>
        <w:t xml:space="preserve">6.2 Interactive Calculators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four calculators as above, but each includes an optional “Ask the assistant to explain this” button that hands the current calculator inputs to the chat assistant for a plain-language walkthrough (“what does a 43% DTI actually mean for me?”).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calculators clearly labeled as estimates; a persistent disclaimer footer clarifies they are not a Loan Estimate or binding quote.</w:t>
      </w:r>
    </w:p>
    <w:p>
      <w:pPr>
        <w:pStyle w:val="Heading1"/>
        <w:spacing w:after="200" w:before="400"/>
      </w:pPr>
      <w:r>
        <w:t xml:space="preserve">7. Conversion &amp;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page has exactly one primary CTA — never competing buttons.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language on all CTAs (“See If You Qualify”, not “Apply Now”) except the final hand-off button, which can be direct (“Continue My Application”) since intent is already established.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layout; chat bubble and calculators must work cleanly on a phone one-handed.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Forms never exceed 5–7 fields per step; progressive disclosure for anything beyond that.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signals (NMLS ID, licensing, Equal Housing Opportunity) appear on every page footer, not just About.</w:t>
      </w:r>
    </w:p>
    <w:p>
      <w:pPr>
        <w:pStyle w:val="Heading1"/>
        <w:spacing w:after="200" w:before="400"/>
      </w:pPr>
      <w:r>
        <w:t xml:space="preserve">8. Recommended Tech Stack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00"/>
      </w:tblGrid>
      <w:tr>
        <w:tc>
          <w:tcPr>
            <w:tcW w:type="dxa" w:w="22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8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37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 end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Next.js (or Webflow if a lower-code option is preferred)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Fast, SEO-friendly, easy to hand off content editing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AI chat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Claude or GPT-4-class model + small custom knowledge base + CRM webhook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Handles FAQ + pre-qual conversationally, hands off warm leads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Calculators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Client-side React components (no backend needed for illustrative math)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Instant, no latency, easy to iterate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CRM / lead routing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Whatever CRM Vanessa's company already uses (e.g., Salesforce, Jungo, BNTouch)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Leads should land where she already works, not a new silo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Netlify or Vercel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Simple deploys, generous free tier, easy custom domain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Compliance review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Vanessa's broker/compliance counsel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Sign-off on RESPA-safe co-marketing language before launch</w:t>
            </w:r>
          </w:p>
        </w:tc>
      </w:tr>
    </w:tbl>
    <w:p>
      <w:pPr>
        <w:pStyle w:val="Heading1"/>
        <w:spacing w:after="200" w:before="400"/>
      </w:pPr>
      <w:r>
        <w:t xml:space="preserve">9.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Borrower funnel: % of visitors reaching the hand-off CTA, chat-to-lead conversion rate, calculator completion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funnel: partner application submissions, agent-to-close-rate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Overall: mobile usability score, average time-to-first-response (chat), bounce rate on hero.</w:t>
      </w:r>
    </w:p>
    <w:p>
      <w:pPr>
        <w:pStyle w:val="Heading1"/>
        <w:spacing w:after="200" w:before="400"/>
      </w:pPr>
      <w:r>
        <w:t xml:space="preserve">10.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Vanessa/broker compliance review of the Partner page offer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 real brand assets (logo, headshot, testimonials, NMLS details) to replace placeholders.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accompanying interactive HTML mockup and mark up desired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CRM/chat vendor and confirm lead-routing destination before AI assistant goes live.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2026-07-11T16:54:25.423Z</dcterms:created>
  <dcterms:modified xsi:type="dcterms:W3CDTF">2026-07-11T16:54:25.435Z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