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Calibri" w:hAnsi="Calibri" w:eastAsia="Microsoft YaHei"/>
          <w:b/>
          <w:i w:val="0"/>
          <w:color w:val="1F4E78"/>
          <w:sz w:val="22"/>
        </w:rPr>
        <w:t>研发实施规划</w:t>
      </w:r>
    </w:p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17365D"/>
          <w:sz w:val="50"/>
        </w:rPr>
        <w:t>企业级智能运维 Agent 开放底座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从 V8.1 架构蓝图到 24 周生产平台 V1.0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规划版本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V1.0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规划日期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2026-06-06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计划周期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2026-06-08 至 2026-11-20（24 周）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规划基线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企业级智能运维Agent开放底座架构设计蓝图_V8.1_可落地修订版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团队假设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8–10 人核心团队，安全、运维和业务专家按评审节点兼职投入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状态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供立项、资源确认与研发启动评审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E78"/>
                <w:sz w:val="22"/>
              </w:rPr>
              <w:t xml:space="preserve">核心决策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先交付不可写生产的只读诊断 MVP，再建设受控变更闭环，最后进入生产平台化。任何模型输出均视为不可信输入，授权、审批、调度与执行由确定性底座完成。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目录将在 Word 打开时更新</w:t>
        <w:fldChar w:fldCharType="end"/>
      </w:r>
    </w:p>
    <w:p>
      <w:r>
        <w:br w:type="page"/>
      </w:r>
    </w:p>
    <w:p>
      <w:pPr>
        <w:pStyle w:val="Heading1"/>
        <w:keepNext/>
      </w:pPr>
      <w:r>
        <w:t>一、执行摘要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本规划将 V8.1 架构蓝图转化为可执行的研发路线。项目按三阶段、24 周推进：6 周只读诊断 MVP、8 周受控变更试点、10 周生产平台化。计划包含 9 个 Epic、50 项任务、5 个里程碑，并以安全边界、幂等恢复、审计追溯和生产可运行为首要约束。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D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B6E4B"/>
                <w:sz w:val="22"/>
              </w:rPr>
              <w:t xml:space="preserve">成功定义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在不依赖模型进行最终授权的前提下，平台能够稳定完成只读诊断；低风险变更必须经过策略、审批、幂等与隔离控制；生产上线前完成安全、灾备、容量和回滚验证。</w:t>
            </w:r>
          </w:p>
        </w:tc>
      </w:tr>
    </w:tbl>
    <w:p>
      <w:pPr>
        <w:pStyle w:val="Heading2"/>
        <w:keepNext/>
      </w:pPr>
      <w:r>
        <w:t>1.1 关键规划假设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项目于 2026 年 6 月 8 日启动，计划于 2026 年 11 月 20 日发布 V1.0。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核心团队规模按 8–10 人规划，运维领域专家、安全与目标系统接口人需要在关键评审节点投入。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MVP 仅允许查询与诊断，不开放生产写入、权限提升、数据删除或任意脚本执行。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企业 SSO、关系型数据库、Redis、对象存储、内部制品库和基础可观测平台可在项目期内获得。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长时间、跨节点、包含审批或副作用的任务必须由持久化工作流托管。</w:t>
      </w:r>
    </w:p>
    <w:p>
      <w:pPr>
        <w:pStyle w:val="Heading2"/>
        <w:keepNext/>
      </w:pPr>
      <w:r>
        <w:t>1.2 不在 V1.0 范围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完全自治的生产运维和无人审批的高风险变更。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任意互联网依赖安装、任意脚本生成后直接执行。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将模型内部推理过程直接展示给前端用户。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以人格配置、Prompt 或客户端参数降低组织安全基线。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替代现有 CMDB、ITSM、监控、日志和身份系统。</w:t>
      </w:r>
    </w:p>
    <w:p>
      <w:pPr>
        <w:pStyle w:val="Heading1"/>
        <w:keepNext/>
      </w:pPr>
      <w:r>
        <w:t>二、目标、原则与验收口径</w:t>
      </w:r>
    </w:p>
    <w:p>
      <w:pPr>
        <w:pStyle w:val="Heading2"/>
        <w:keepNext/>
      </w:pPr>
      <w:r>
        <w:t>2.1 产品目标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建立统一的 Skill 契约、注册、路由和发布机制，使运维能力能够被安全复用。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建立身份、策略、审批、执行、审计和恢复闭环，确保每个动作可解释、可追溯、可阻断。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建立确定性工作流和执行隔离，使模型负责建议与计划，底座负责最终执行控制。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建立可观测、可评测、可灰度和可回滚的生产运营体系。</w:t>
      </w:r>
    </w:p>
    <w:p>
      <w:pPr>
        <w:pStyle w:val="Heading2"/>
        <w:keepNext/>
      </w:pPr>
      <w:r>
        <w:t>2.2 工程原则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落地要求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默认拒绝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未通过认证、授权、策略、Schema、审批或隔离检查的请求不得执行。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模型不授权</w:t>
            </w:r>
          </w:p>
        </w:tc>
        <w:tc>
          <w:tcPr>
            <w:tcW w:type="dxa" w:w="75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LLM 输出仅作为候选意图和计划，最终决策必须由服务端确定性逻辑完成。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事实源明确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关系库与持久化工作流保存执行事实；Redis 和 ChatMemory 不作为唯一事实源。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副作用可治理</w:t>
            </w:r>
          </w:p>
        </w:tc>
        <w:tc>
          <w:tcPr>
            <w:tcW w:type="dxa" w:w="75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写操作必须具备幂等键、明确补偿方案或人工接管路径。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分级隔离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只读、低风险、高风险执行使用不同隔离与审批要求。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持续验证</w:t>
            </w:r>
          </w:p>
        </w:tc>
        <w:tc>
          <w:tcPr>
            <w:tcW w:type="dxa" w:w="75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每次 Skill、策略和模型变更均需经过测试、评测、灰度和回滚验证。</w:t>
            </w:r>
          </w:p>
        </w:tc>
      </w:tr>
    </w:tbl>
    <w:p>
      <w:pPr>
        <w:pStyle w:val="Heading1"/>
        <w:keepNext/>
      </w:pPr>
      <w:r>
        <w:t>三、总体实施架构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实施架构按“交互层—策略与契约层—工作流与编排层—执行隔离层—数据与可观测层”分层建设。各层必须具有清晰的信任边界和独立验收标准。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00"/>
        <w:gridCol w:w="3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建设内容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关键约束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交互与 API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对话操作台、指令直调、结构化 API、审批和人工接管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不得绕过策略、审批、幂等与审计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身份与策略</w:t>
            </w:r>
          </w:p>
        </w:tc>
        <w:tc>
          <w:tcPr>
            <w:tcW w:type="dxa" w:w="4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OIDC/SSO、RBAC/属性策略、风险判断、职责分离</w:t>
            </w:r>
          </w:p>
        </w:tc>
        <w:tc>
          <w:tcPr>
            <w:tcW w:type="dxa" w:w="30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服务端唯一授权决策点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Skill 契约与 Registry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skill.md、JSON Schema、签名、版本、灰度和回滚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模型仅看到授权且相关的候选 Skill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工作流与 DAG</w:t>
            </w:r>
          </w:p>
        </w:tc>
        <w:tc>
          <w:tcPr>
            <w:tcW w:type="dxa" w:w="4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持久化节点状态、审批、幂等、补偿、DAG 校验</w:t>
            </w:r>
          </w:p>
        </w:tc>
        <w:tc>
          <w:tcPr>
            <w:tcW w:type="dxa" w:w="30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生产副作用必须由工作流托管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执行与隔离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受限 Worker、Job Object、ACL、网络白名单、凭据代理、强隔离</w:t>
            </w:r>
          </w:p>
        </w:tc>
        <w:tc>
          <w:tcPr>
            <w:tcW w:type="dxa" w:w="30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Job Object/WDAC 仅是纵深防御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数据与可观测</w:t>
            </w:r>
          </w:p>
        </w:tc>
        <w:tc>
          <w:tcPr>
            <w:tcW w:type="dxa" w:w="4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关系库、Redis、受控制品、日志、指标、追踪、审计</w:t>
            </w:r>
          </w:p>
        </w:tc>
        <w:tc>
          <w:tcPr>
            <w:tcW w:type="dxa" w:w="30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执行事实可恢复、制品完整可追溯</w:t>
            </w:r>
          </w:p>
        </w:tc>
      </w:tr>
    </w:tbl>
    <w:p>
      <w:pPr>
        <w:pStyle w:val="Heading1"/>
        <w:keepNext/>
      </w:pPr>
      <w:r>
        <w:t>四、阶段路线与里程碑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700"/>
        <w:gridCol w:w="2100"/>
        <w:gridCol w:w="800"/>
        <w:gridCol w:w="40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时长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阶段目标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只读诊断 MVP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2026-06-08 至 2026-07-17</w:t>
            </w:r>
          </w:p>
        </w:tc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 周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建立可审计、不可写生产的查询与诊断闭环</w:t>
            </w:r>
          </w:p>
        </w:tc>
      </w:tr>
      <w:tr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1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受控变更试点</w:t>
            </w:r>
          </w:p>
        </w:tc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2026-07-20 至 2026-09-11</w:t>
            </w:r>
          </w:p>
        </w:tc>
        <w:tc>
          <w:tcPr>
            <w:tcW w:type="dxa" w:w="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8 周</w:t>
            </w:r>
          </w:p>
        </w:tc>
        <w:tc>
          <w:tcPr>
            <w:tcW w:type="dxa" w:w="40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引入持久化工作流、审批、幂等、补偿与受限执行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P3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生产平台化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2026-09-14 至 2026-11-20</w:t>
            </w:r>
          </w:p>
        </w:tc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10 周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完成多节点、强隔离、安全验证、灾备与上线准备</w:t>
            </w:r>
          </w:p>
        </w:tc>
      </w:tr>
    </w:tbl>
    <w:p>
      <w:pPr>
        <w:pStyle w:val="Heading2"/>
        <w:keepNext/>
      </w:pPr>
      <w:r>
        <w:t>4.1 阶段一：只读诊断 MVP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冻结默认禁止清单，完成威胁建模、架构决策、仓库和 CI 基线。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完成身份认证、基础策略、审计链、Skill Schema、路由和结构化事件流。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交付 5–10 个只读 Skill 与评测集，所有结果可追溯且不可执行生产写入。</w:t>
      </w:r>
    </w:p>
    <w:p>
      <w:pPr>
        <w:pStyle w:val="Heading2"/>
        <w:keepNext/>
      </w:pPr>
      <w:r>
        <w:t>4.2 阶段二：受控变更试点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建设持久化工作流、审批快照、幂等、补偿与人工接管。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建设受限 Worker、网络控制、短期凭据代理和受控依赖供应链。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仅选择低风险、可回滚、范围受限的变更进行试点。</w:t>
      </w:r>
    </w:p>
    <w:p>
      <w:pPr>
        <w:pStyle w:val="Heading2"/>
        <w:keepNext/>
      </w:pPr>
      <w:r>
        <w:t>4.3 阶段三：生产平台化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建设中央 Skill Registry、多节点一致性、高可用与高风险强隔离执行池。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完成性能容量、安全红队、故障注入、灾备与回滚演练。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通过生产就绪评审后发布 V1.0，并完成运行移交。</w:t>
      </w:r>
    </w:p>
    <w:p>
      <w:pPr>
        <w:pStyle w:val="Heading2"/>
        <w:keepNext/>
      </w:pPr>
      <w:r>
        <w:t>4.4 里程碑与退出条件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2200"/>
        <w:gridCol w:w="1500"/>
        <w:gridCol w:w="48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M0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项目启动与范围基线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2026-06-12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范围、ADR、团队职责、开发规范和风险台账评审通过</w:t>
            </w:r>
          </w:p>
        </w:tc>
      </w:tr>
      <w:tr>
        <w:tc>
          <w:tcPr>
            <w:tcW w:type="dxa" w:w="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M1</w:t>
            </w:r>
          </w:p>
        </w:tc>
        <w:tc>
          <w:tcPr>
            <w:tcW w:type="dxa" w:w="2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只读诊断 MVP 验收</w:t>
            </w:r>
          </w:p>
        </w:tc>
        <w:tc>
          <w:tcPr>
            <w:tcW w:type="dxa" w:w="1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2026-07-17</w:t>
            </w:r>
          </w:p>
        </w:tc>
        <w:tc>
          <w:tcPr>
            <w:tcW w:type="dxa" w:w="48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5–10 个只读 Skill 可用；鉴权、审计、事件流和基础评测通过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M2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受控变更试点验收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2026-09-11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低风险可回滚变更完成审批、幂等、隔离执行和恢复演练</w:t>
            </w:r>
          </w:p>
        </w:tc>
      </w:tr>
      <w:tr>
        <w:tc>
          <w:tcPr>
            <w:tcW w:type="dxa" w:w="8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M3</w:t>
            </w:r>
          </w:p>
        </w:tc>
        <w:tc>
          <w:tcPr>
            <w:tcW w:type="dxa" w:w="2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生产就绪评审</w:t>
            </w:r>
          </w:p>
        </w:tc>
        <w:tc>
          <w:tcPr>
            <w:tcW w:type="dxa" w:w="1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2026-11-06</w:t>
            </w:r>
          </w:p>
        </w:tc>
        <w:tc>
          <w:tcPr>
            <w:tcW w:type="dxa" w:w="48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高可用、安全测试、故障注入、容量和灾备指标达标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M4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生产平台 V1.0 发布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2026-11-20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上线清单、运行手册、回滚演练、验收报告和移交完成</w:t>
            </w:r>
          </w:p>
        </w:tc>
      </w:tr>
    </w:tbl>
    <w:p>
      <w:pPr>
        <w:pStyle w:val="Heading1"/>
        <w:keepNext/>
      </w:pPr>
      <w:r>
        <w:t>五、Epic 与交付物拆解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2100"/>
        <w:gridCol w:w="1550"/>
        <w:gridCol w:w="900"/>
        <w:gridCol w:w="416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Epic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工作流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负责人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主要目标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E0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治理与架构基线</w:t>
            </w:r>
          </w:p>
        </w:tc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架构负责人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4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冻结 MVP 边界、关键技术决策、工程规范与质量门禁</w:t>
            </w:r>
          </w:p>
        </w:tc>
      </w:tr>
      <w:tr>
        <w:tc>
          <w:tcPr>
            <w:tcW w:type="dxa" w:w="6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E1</w:t>
            </w:r>
          </w:p>
        </w:tc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平台基础、身份与审计</w:t>
            </w:r>
          </w:p>
        </w:tc>
        <w:tc>
          <w:tcPr>
            <w:tcW w:type="dxa" w:w="15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后端负责人</w:t>
            </w:r>
          </w:p>
        </w:tc>
        <w:tc>
          <w:tcPr>
            <w:tcW w:type="dxa" w:w="9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41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建立服务骨架、认证授权、不可伪造执行上下文和审计链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E2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Skill 契约、Registry 与路由</w:t>
            </w:r>
          </w:p>
        </w:tc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平台后端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P1/P2</w:t>
            </w:r>
          </w:p>
        </w:tc>
        <w:tc>
          <w:tcPr>
            <w:tcW w:type="dxa" w:w="4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形成版本化、可签名、可灰度、Schema 强校验的 Skill 生命周期</w:t>
            </w:r>
          </w:p>
        </w:tc>
      </w:tr>
      <w:tr>
        <w:tc>
          <w:tcPr>
            <w:tcW w:type="dxa" w:w="6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只读诊断 MVP</w:t>
            </w:r>
          </w:p>
        </w:tc>
        <w:tc>
          <w:tcPr>
            <w:tcW w:type="dxa" w:w="15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运维领域负责人</w:t>
            </w:r>
          </w:p>
        </w:tc>
        <w:tc>
          <w:tcPr>
            <w:tcW w:type="dxa" w:w="9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41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交付首批只读查询、诊断与评测闭环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E4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持久化工作流、审批与幂等</w:t>
            </w:r>
          </w:p>
        </w:tc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工作流负责人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4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将审批、恢复、幂等、补偿和人工接管变为执行事实源</w:t>
            </w:r>
          </w:p>
        </w:tc>
      </w:tr>
      <w:tr>
        <w:tc>
          <w:tcPr>
            <w:tcW w:type="dxa" w:w="6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E5</w:t>
            </w:r>
          </w:p>
        </w:tc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执行 Worker 与安全隔离</w:t>
            </w:r>
          </w:p>
        </w:tc>
        <w:tc>
          <w:tcPr>
            <w:tcW w:type="dxa" w:w="15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安全负责人</w:t>
            </w:r>
          </w:p>
        </w:tc>
        <w:tc>
          <w:tcPr>
            <w:tcW w:type="dxa" w:w="9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P2/P3</w:t>
            </w:r>
          </w:p>
        </w:tc>
        <w:tc>
          <w:tcPr>
            <w:tcW w:type="dxa" w:w="41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建立最小权限 Worker、凭据代理、网络控制和高风险强隔离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E6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DAG 编排与容错</w:t>
            </w:r>
          </w:p>
        </w:tc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平台后端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4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实现确定性 DAG 校验、调度、制品黑板、熔断与安全重试</w:t>
            </w:r>
          </w:p>
        </w:tc>
      </w:tr>
      <w:tr>
        <w:tc>
          <w:tcPr>
            <w:tcW w:type="dxa" w:w="6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E7</w:t>
            </w:r>
          </w:p>
        </w:tc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前端语义事件与可观测性</w:t>
            </w:r>
          </w:p>
        </w:tc>
        <w:tc>
          <w:tcPr>
            <w:tcW w:type="dxa" w:w="155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前端负责人</w:t>
            </w:r>
          </w:p>
        </w:tc>
        <w:tc>
          <w:tcPr>
            <w:tcW w:type="dxa" w:w="9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P1/P2</w:t>
            </w:r>
          </w:p>
        </w:tc>
        <w:tc>
          <w:tcPr>
            <w:tcW w:type="dxa" w:w="41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交付可审计事件流、操作界面、指标、日志和追踪</w:t>
            </w:r>
          </w:p>
        </w:tc>
      </w:tr>
      <w:tr>
        <w:tc>
          <w:tcPr>
            <w:tcW w:type="dxa" w:w="6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E8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生产就绪、安全验收与发布</w:t>
            </w:r>
          </w:p>
        </w:tc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交付负责人</w:t>
            </w:r>
          </w:p>
        </w:tc>
        <w:tc>
          <w:tcPr>
            <w:tcW w:type="dxa" w:w="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P3</w:t>
            </w:r>
          </w:p>
        </w:tc>
        <w:tc>
          <w:tcPr>
            <w:tcW w:type="dxa" w:w="4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完成高可用、灾备、安全测试、容量治理和正式上线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逐项任务、时间、依赖、工作量与验收标准详见配套《任务排期表 XLSX》。研发执行中以任务排期表作为日常跟踪底稿，以本实施规划作为范围、质量与治理基线。</w:t>
      </w:r>
    </w:p>
    <w:p>
      <w:pPr>
        <w:pStyle w:val="Heading1"/>
        <w:keepNext/>
      </w:pPr>
      <w:r>
        <w:t>六、团队配置与治理机制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200"/>
        <w:gridCol w:w="59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 FTE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产品/项目负责人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范围、优先级、里程碑、跨团队协调与验收</w:t>
            </w:r>
          </w:p>
        </w:tc>
      </w:tr>
      <w:tr>
        <w:tc>
          <w:tcPr>
            <w:tcW w:type="dxa" w:w="2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架构/技术负责人</w:t>
            </w:r>
          </w:p>
        </w:tc>
        <w:tc>
          <w:tcPr>
            <w:tcW w:type="dxa" w:w="1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59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架构决策、技术评审、关键代码和质量门禁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平台后端工程师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3.0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身份、Skill、路由、工作流、DAG、API 与数据层</w:t>
            </w:r>
          </w:p>
        </w:tc>
      </w:tr>
      <w:tr>
        <w:tc>
          <w:tcPr>
            <w:tcW w:type="dxa" w:w="2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前端工程师</w:t>
            </w:r>
          </w:p>
        </w:tc>
        <w:tc>
          <w:tcPr>
            <w:tcW w:type="dxa" w:w="1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59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操作台、事件流、审批交互和可观测展示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安全工程师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威胁建模、策略、隔离、凭据代理、红队与合规</w:t>
            </w:r>
          </w:p>
        </w:tc>
      </w:tr>
      <w:tr>
        <w:tc>
          <w:tcPr>
            <w:tcW w:type="dxa" w:w="2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测试/质量工程师</w:t>
            </w:r>
          </w:p>
        </w:tc>
        <w:tc>
          <w:tcPr>
            <w:tcW w:type="dxa" w:w="1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59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自动化测试、模型评测、故障注入、性能和验收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SRE/运维工程师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环境、CI/CD、监控、容量、灾备、上线与运行手册</w:t>
            </w:r>
          </w:p>
        </w:tc>
      </w:tr>
      <w:tr>
        <w:tc>
          <w:tcPr>
            <w:tcW w:type="dxa" w:w="2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运维领域专家</w:t>
            </w:r>
          </w:p>
        </w:tc>
        <w:tc>
          <w:tcPr>
            <w:tcW w:type="dxa" w:w="1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0.5</w:t>
            </w:r>
          </w:p>
        </w:tc>
        <w:tc>
          <w:tcPr>
            <w:tcW w:type="dxa" w:w="59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Skill 场景、操作边界、风险评级和验收数据</w:t>
            </w:r>
          </w:p>
        </w:tc>
      </w:tr>
    </w:tbl>
    <w:p>
      <w:pPr>
        <w:pStyle w:val="Heading2"/>
        <w:keepNext/>
      </w:pPr>
      <w:r>
        <w:t>6.1 治理节奏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每日：研发站会，聚焦阻塞、依赖和当日交付。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每周：项目周会，更新里程碑、风险、容量和决策事项。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每两周：迭代评审与回顾，演示可运行增量并调整后续任务。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关键门禁：架构评审、安全评审、MVP 验收、试点验收、生产就绪评审和发布评审。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任何范围、风险或上线门禁变更必须记录决策、Owner 和影响。</w:t>
      </w:r>
    </w:p>
    <w:p>
      <w:pPr>
        <w:pStyle w:val="Heading2"/>
        <w:keepNext/>
      </w:pPr>
      <w:r>
        <w:t>6.2 职责分离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Skill 作者不得单独批准其高风险 Skill 上线。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生产策略变更、WDAC/隔离策略和高风险权限变更采用双人审批。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开发人员不得使用长期生产凭据；生产访问通过短期凭据代理。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测试通过不替代业务验收、安全评审或生产就绪评审。</w:t>
      </w:r>
    </w:p>
    <w:p>
      <w:pPr>
        <w:pStyle w:val="Heading1"/>
        <w:keepNext/>
      </w:pPr>
      <w:r>
        <w:t>七、研发与交付方法</w:t>
      </w:r>
    </w:p>
    <w:p>
      <w:pPr>
        <w:pStyle w:val="Heading2"/>
        <w:keepNext/>
      </w:pPr>
      <w:r>
        <w:t>7.1 仓库与模块建议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platform-api：身份、策略、Skill、工作流、DAG 和结构化 API。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execution-worker：受限执行器、进程治理、凭据代理客户端和隔离适配器。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operator-console：对话、诊断、审批、人工接管与可观测界面。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skill-registry：Skill 契约、样例、测试、签名与发布定义。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deploy-and-ops：部署、监控、告警、容量、灾备和运行手册。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architecture-decisions：ADR、威胁模型、接口规范和验收记录。</w:t>
      </w:r>
    </w:p>
    <w:p>
      <w:pPr>
        <w:pStyle w:val="Heading2"/>
        <w:keepNext/>
      </w:pPr>
      <w:r>
        <w:t>7.2 Definition of Ready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任务具有明确业务目标、边界、Owner、依赖、验收标准和测试方法。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涉及安全、数据、外部接口或生产副作用时，已完成对应评审。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依赖接口和测试环境可用，或已有 Mock 与降级计划。</w:t>
      </w:r>
    </w:p>
    <w:p>
      <w:pPr>
        <w:pStyle w:val="Heading2"/>
        <w:keepNext/>
      </w:pPr>
      <w:r>
        <w:t>7.3 Definition of Done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代码评审、自动化测试、静态扫描和依赖扫描通过。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指标、日志、追踪、审计和错误处理满足模块要求。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文档、ADR、接口契约和运行说明同步更新。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通过对应环境验证，具备回滚、降级或人工接管路径。</w:t>
      </w:r>
    </w:p>
    <w:p>
      <w:pPr>
        <w:pStyle w:val="Heading1"/>
        <w:keepNext/>
      </w:pPr>
      <w:r>
        <w:t>八、测试、评测与质量门禁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200"/>
        <w:gridCol w:w="34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质量域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覆盖范围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发布门禁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功能测试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认证、策略、Skill、工作流、DAG、事件流与前端交互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关键路径自动化；P0/P1 缺陷清零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模型评测</w:t>
            </w:r>
          </w:p>
        </w:tc>
        <w:tc>
          <w:tcPr>
            <w:tcW w:type="dxa" w:w="4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意图路由、候选计划、参数提取、拒绝行为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固定评测集；变更前后对比；误执行率为零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安全测试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越权、提示注入、凭据泄漏、网络访问、隔离逃逸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无未关闭高危漏洞；红队场景通过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可靠性测试</w:t>
            </w:r>
          </w:p>
        </w:tc>
        <w:tc>
          <w:tcPr>
            <w:tcW w:type="dxa" w:w="4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重启恢复、审批恢复、幂等、补偿、人工接管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成功节点不重复执行；不确定状态可阻断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性能容量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并发、P95、SSE、工作流吞吐、制品与成本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满足容量目标并具备限流和预算控制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灾备演练</w:t>
            </w:r>
          </w:p>
        </w:tc>
        <w:tc>
          <w:tcPr>
            <w:tcW w:type="dxa" w:w="42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数据库、工作流、Worker、节点和依赖故障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RTO/RPO 达标；回滚和人工接管可用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2"/>
              </w:rPr>
              <w:t xml:space="preserve">硬门禁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生产发布前必须完成安全测试、故障注入、备份恢复、容量评估和回滚演练；任何未关闭高危问题均阻止上线。</w:t>
            </w:r>
          </w:p>
        </w:tc>
      </w:tr>
    </w:tbl>
    <w:p>
      <w:pPr>
        <w:pStyle w:val="Heading1"/>
        <w:keepNext/>
      </w:pPr>
      <w:r>
        <w:t>九、安全实施要求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服务端策略引擎是唯一授权决策点；模型、人格、Prompt、前端和直接 API 调用不得降低安全基线。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模型输出、Skill 输入、脚本输出和黑板制品均视为不可信数据，进入执行链前必须校验、脱敏和授权。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Worker 使用独立低权限身份；工作区按任务隔离；网络出口默认拒绝；凭据使用短期、最小权限代理。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高风险或处理不可信内容的任务进入 Hyper-V、虚拟机或等效强隔离环境。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审计事件发送至集中、受保护的存储，并覆盖主体、审批、策略、Skill 版本、参数摘要和执行结果。</w:t>
      </w:r>
    </w:p>
    <w:p>
      <w:pPr>
        <w:pStyle w:val="Heading1"/>
        <w:keepNext/>
      </w:pPr>
      <w:r>
        <w:t>十、风险管理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2400"/>
        <w:gridCol w:w="700"/>
        <w:gridCol w:w="700"/>
        <w:gridCol w:w="1500"/>
        <w:gridCol w:w="3460"/>
      </w:tblGrid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编号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风险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概率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影响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主要缓解措施</w:t>
            </w:r>
          </w:p>
        </w:tc>
      </w:tr>
      <w:tr>
        <w:tc>
          <w:tcPr>
            <w:tcW w:type="dxa" w:w="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R01</w:t>
            </w:r>
          </w:p>
        </w:tc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Windows 解释器与宿主隔离不足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高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高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安全工程师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分级执行；高风险进入强隔离；红队验证；最小权限与网络白名单</w:t>
            </w:r>
          </w:p>
        </w:tc>
      </w:tr>
      <w:tr>
        <w:tc>
          <w:tcPr>
            <w:tcW w:type="dxa" w:w="6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R02</w:t>
            </w:r>
          </w:p>
        </w:tc>
        <w:tc>
          <w:tcPr>
            <w:tcW w:type="dxa" w:w="24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LLM 路由或计划生成错误导致误调用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高</w:t>
            </w:r>
          </w:p>
        </w:tc>
        <w:tc>
          <w:tcPr>
            <w:tcW w:type="dxa" w:w="1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架构/技术负责人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候选 Skill 限定、服务端 Schema/策略校验、评测集和默认拒绝</w:t>
            </w:r>
          </w:p>
        </w:tc>
      </w:tr>
      <w:tr>
        <w:tc>
          <w:tcPr>
            <w:tcW w:type="dxa" w:w="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R03</w:t>
            </w:r>
          </w:p>
        </w:tc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审批恢复或故障恢复造成重复执行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高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工作流负责人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持久化节点状态、幂等键、参数快照、状态不确定转人工</w:t>
            </w:r>
          </w:p>
        </w:tc>
      </w:tr>
      <w:tr>
        <w:tc>
          <w:tcPr>
            <w:tcW w:type="dxa" w:w="6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R04</w:t>
            </w:r>
          </w:p>
        </w:tc>
        <w:tc>
          <w:tcPr>
            <w:tcW w:type="dxa" w:w="24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Skill 动态发布造成节点版本漂移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1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SRE/运维工程师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中央 Registry、签名制品、灰度、漂移检测和回滚</w:t>
            </w:r>
          </w:p>
        </w:tc>
      </w:tr>
      <w:tr>
        <w:tc>
          <w:tcPr>
            <w:tcW w:type="dxa" w:w="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R05</w:t>
            </w:r>
          </w:p>
        </w:tc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首期范围过大影响 MVP 验收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高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产品/项目负责人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只读 MVP 边界冻结；写操作全部进入 P2；变更需评审</w:t>
            </w:r>
          </w:p>
        </w:tc>
      </w:tr>
      <w:tr>
        <w:tc>
          <w:tcPr>
            <w:tcW w:type="dxa" w:w="6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R06</w:t>
            </w:r>
          </w:p>
        </w:tc>
        <w:tc>
          <w:tcPr>
            <w:tcW w:type="dxa" w:w="24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企业 SSO、目标系统或审批接口依赖延迟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1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产品/项目负责人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尽早确认接口；提供 Mock；依赖问题进入周级升级机制</w:t>
            </w:r>
          </w:p>
        </w:tc>
      </w:tr>
      <w:tr>
        <w:tc>
          <w:tcPr>
            <w:tcW w:type="dxa" w:w="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R07</w:t>
            </w:r>
          </w:p>
        </w:tc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可观测与审计信息包含敏感数据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高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安全工程师</w:t>
            </w:r>
          </w:p>
        </w:tc>
        <w:tc>
          <w:tcPr>
            <w:tcW w:type="dxa" w:w="3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分类分级、脱敏、最小保留、访问控制与审计抽查</w:t>
            </w:r>
          </w:p>
        </w:tc>
      </w:tr>
      <w:tr>
        <w:tc>
          <w:tcPr>
            <w:tcW w:type="dxa" w:w="6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R08</w:t>
            </w:r>
          </w:p>
        </w:tc>
        <w:tc>
          <w:tcPr>
            <w:tcW w:type="dxa" w:w="24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模型成本或延迟超预算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7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中</w:t>
            </w:r>
          </w:p>
        </w:tc>
        <w:tc>
          <w:tcPr>
            <w:tcW w:type="dxa" w:w="15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架构/技术负责人</w:t>
            </w:r>
          </w:p>
        </w:tc>
        <w:tc>
          <w:tcPr>
            <w:tcW w:type="dxa" w:w="34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指令直调、Schema 路由、缓存、预算限额和模型分级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风险台账每周更新。概率或影响升级为“高”、关键依赖延期超过一周、或里程碑退出条件无法按期满足时，必须进入项目升级机制。</w:t>
      </w:r>
    </w:p>
    <w:p>
      <w:pPr>
        <w:pStyle w:val="Heading1"/>
        <w:keepNext/>
      </w:pPr>
      <w:r>
        <w:t>十一、首 30 天启动计划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第 1 周：完成项目章程、MVP 边界、默认禁止清单、ADR 基线和威胁建模启动。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第 2 周：建立仓库与 CI，完成 Skill 契约初稿、服务骨架、数据模型与测试策略。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第 3 周：完成认证接入、执行上下文、审计事件、首批只读场景和事件协议。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第 4 周：完成基础策略、CommandEnvelope、Skill Loader、路由器初版和首批只读 Skill 开发。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2"/>
              </w:rPr>
              <w:t xml:space="preserve">首月评审重点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确认安全边界没有被实现便利性削弱；确认只读 MVP 的范围足够小；确认工作流、策略引擎、Registry 和隔离方案具备明确 Owner 与后续落地路径。</w:t>
            </w:r>
          </w:p>
        </w:tc>
      </w:tr>
    </w:tbl>
    <w:p>
      <w:pPr>
        <w:pStyle w:val="Heading1"/>
        <w:keepNext/>
      </w:pPr>
      <w:r>
        <w:t>十二、交付物清单与签收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规划与治理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项目章程、研发实施规划、任务排期、ADR、风险台账、评审记录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产品与架构</w:t>
            </w:r>
          </w:p>
        </w:tc>
        <w:tc>
          <w:tcPr>
            <w:tcW w:type="dxa" w:w="72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MVP 范围、能力边界、Skill 契约、接口规范、威胁模型、数据模型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研发产物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平台服务、Worker、操作台、Skill Registry、首批 Skill、部署制品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质量与安全</w:t>
            </w:r>
          </w:p>
        </w:tc>
        <w:tc>
          <w:tcPr>
            <w:tcW w:type="dxa" w:w="7260"/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自动化测试、模型评测、安全测试、性能容量、故障注入和灾备报告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运营与移交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监控告警、运行手册、应急预案、培训材料、发布与回滚记录</w:t>
            </w:r>
          </w:p>
        </w:tc>
      </w:tr>
    </w:tbl>
    <w:p>
      <w:pPr>
        <w:pStyle w:val="Heading2"/>
        <w:keepNext/>
      </w:pPr>
      <w:r>
        <w:t>12.1 最终签收条件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五个里程碑的退出条件全部满足并形成书面记录。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V1.0 生产能力边界、默认禁止清单和遗留风险获得业务、安全、技术和运维共同确认。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运行团队完成培训、演练和交接，具备监控、应急、回滚和人工接管能力。</w:t>
      </w:r>
    </w:p>
    <w:p>
      <w:pPr>
        <w:pStyle w:val="ListBullet"/>
        <w:spacing w:after="1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配套任务排期表中的 P0 任务完成，P1 遗留项具有明确 Owner、风险接受与完成期限。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内部规划材料  | 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企业级智能运维 Agent | 研发实施规划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