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40" w:before="0"/>
        <w:jc w:val="center"/>
      </w:pPr>
      <w:r>
        <w:rPr>
          <w:rFonts w:ascii="Arial" w:cs="Arial" w:eastAsia="Arial" w:hAnsi="Arial"/>
          <w:b/>
          <w:bCs/>
          <w:color w:val="E8521A"/>
          <w:sz w:val="28"/>
          <w:szCs w:val="28"/>
        </w:rPr>
        <w:t xml:space="preserve">RALPH ANALYTICS</w:t>
      </w:r>
    </w:p>
    <w:p>
      <w:pPr>
        <w:spacing w:after="60" w:before="0"/>
        <w:jc w:val="center"/>
      </w:pPr>
      <w:r>
        <w:rPr>
          <w:rFonts w:ascii="Arial" w:cs="Arial" w:eastAsia="Arial" w:hAnsi="Arial"/>
          <w:b/>
          <w:bCs/>
          <w:color w:val="0D1117"/>
          <w:sz w:val="40"/>
          <w:szCs w:val="40"/>
        </w:rPr>
        <w:t xml:space="preserve">Internal AI Governance &amp; Usage Policy</w:t>
      </w:r>
    </w:p>
    <w:p>
      <w:pPr>
        <w:spacing w:after="200" w:before="0"/>
        <w:jc w:val="center"/>
      </w:pPr>
      <w:r>
        <w:rPr>
          <w:rFonts w:ascii="Arial" w:cs="Arial" w:eastAsia="Arial" w:hAnsi="Arial"/>
          <w:color w:val="666677"/>
          <w:sz w:val="20"/>
          <w:szCs w:val="20"/>
        </w:rPr>
        <w:t xml:space="preserve">Version 1.1  ·  26 June 2026  ·  RA-POL-AI-001</w:t>
      </w:r>
    </w:p>
    <w:p>
      <w:pPr>
        <w:pBdr>
          <w:bottom w:val="single" w:color="E2E4E9" w:sz="4"/>
        </w:pBdr>
        <w:spacing w:after="12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Effective Date:</w:t>
            </w:r>
          </w:p>
        </w:tc>
        <w:tc>
          <w:tcPr>
            <w:tcW w:type="dxa" w:w="67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color w:val="0D1117"/>
                <w:sz w:val="19"/>
                <w:szCs w:val="19"/>
              </w:rPr>
              <w:t xml:space="preserve">26 June 2026</w:t>
            </w:r>
          </w:p>
        </w:tc>
      </w:tr>
      <w:tr>
        <w:tc>
          <w:tcPr>
            <w:tcW w:type="dxa" w:w="26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Policy Owner:</w:t>
            </w:r>
          </w:p>
        </w:tc>
        <w:tc>
          <w:tcPr>
            <w:tcW w:type="dxa" w:w="67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color w:val="0D1117"/>
                <w:sz w:val="19"/>
                <w:szCs w:val="19"/>
              </w:rPr>
              <w:t xml:space="preserve">Managing Director</w:t>
            </w:r>
          </w:p>
        </w:tc>
      </w:tr>
      <w:tr>
        <w:tc>
          <w:tcPr>
            <w:tcW w:type="dxa" w:w="26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Information Officer (POPIA):</w:t>
            </w:r>
          </w:p>
        </w:tc>
        <w:tc>
          <w:tcPr>
            <w:tcW w:type="dxa" w:w="67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color w:val="0D1117"/>
                <w:sz w:val="19"/>
                <w:szCs w:val="19"/>
              </w:rPr>
              <w:t xml:space="preserve">Registered with the Information Regulator of South Africa</w:t>
            </w:r>
          </w:p>
        </w:tc>
      </w:tr>
      <w:tr>
        <w:tc>
          <w:tcPr>
            <w:tcW w:type="dxa" w:w="26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OpenAI DPA:</w:t>
            </w:r>
          </w:p>
        </w:tc>
        <w:tc>
          <w:tcPr>
            <w:tcW w:type="dxa" w:w="67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color w:val="0D1117"/>
                <w:sz w:val="19"/>
                <w:szCs w:val="19"/>
              </w:rPr>
              <w:t xml:space="preserve">Signed — OpenAI Data Processing Agreement (DPA) in effect</w:t>
            </w:r>
          </w:p>
        </w:tc>
      </w:tr>
      <w:tr>
        <w:tc>
          <w:tcPr>
            <w:tcW w:type="dxa" w:w="26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Version:</w:t>
            </w:r>
          </w:p>
        </w:tc>
        <w:tc>
          <w:tcPr>
            <w:tcW w:type="dxa" w:w="67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color w:val="0D1117"/>
                <w:sz w:val="19"/>
                <w:szCs w:val="19"/>
              </w:rPr>
              <w:t xml:space="preserve">1.1</w:t>
            </w:r>
          </w:p>
        </w:tc>
      </w:tr>
      <w:tr>
        <w:tc>
          <w:tcPr>
            <w:tcW w:type="dxa" w:w="26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Classification:</w:t>
            </w:r>
          </w:p>
        </w:tc>
        <w:tc>
          <w:tcPr>
            <w:tcW w:type="dxa" w:w="67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color w:val="0D1117"/>
                <w:sz w:val="19"/>
                <w:szCs w:val="19"/>
              </w:rPr>
              <w:t xml:space="preserve">Internal – Confidential</w:t>
            </w:r>
          </w:p>
        </w:tc>
      </w:tr>
      <w:tr>
        <w:tc>
          <w:tcPr>
            <w:tcW w:type="dxa" w:w="26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Review Date:</w:t>
            </w:r>
          </w:p>
        </w:tc>
        <w:tc>
          <w:tcPr>
            <w:tcW w:type="dxa" w:w="67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color w:val="0D1117"/>
                <w:sz w:val="19"/>
                <w:szCs w:val="19"/>
              </w:rPr>
              <w:t xml:space="preserve">June 2027</w:t>
            </w:r>
          </w:p>
        </w:tc>
      </w:tr>
      <w:tr>
        <w:tc>
          <w:tcPr>
            <w:tcW w:type="dxa" w:w="26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Applies to:</w:t>
            </w:r>
          </w:p>
        </w:tc>
        <w:tc>
          <w:tcPr>
            <w:tcW w:type="dxa" w:w="67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color w:val="0D1117"/>
                <w:sz w:val="19"/>
                <w:szCs w:val="19"/>
              </w:rPr>
              <w:t xml:space="preserve">All employees, contractors, and third parties</w:t>
            </w:r>
          </w:p>
        </w:tc>
      </w:tr>
    </w:tbl>
    <w:p>
      <w:pPr>
        <w:spacing w:after="0" w:before="60"/>
      </w:pPr>
      <w:r>
        <w:t xml:space="preserve"/>
      </w:r>
    </w:p>
    <w:p>
      <w:pPr>
        <w:spacing w:after="0" w:before="60"/>
        <w:jc w:val="center"/>
      </w:pPr>
      <w:r>
        <w:rPr>
          <w:rFonts w:ascii="Arial" w:cs="Arial" w:eastAsia="Arial" w:hAnsi="Arial"/>
          <w:color w:val="666677"/>
          <w:sz w:val="17"/>
          <w:szCs w:val="17"/>
        </w:rPr>
        <w:t xml:space="preserve">This document is classified INTERNAL CONFIDENTIAL. Distribution to external parties requires prior written approval from the Managing Director.</w:t>
      </w:r>
    </w:p>
    <w:p>
      <w:r>
        <w:br w:type="page"/>
      </w:r>
    </w:p>
    <w:p>
      <w:pPr>
        <w:pStyle w:val="Heading1"/>
        <w:spacing w:after="140" w:before="320"/>
      </w:pPr>
      <w:r>
        <w:rPr>
          <w:rFonts w:ascii="Arial" w:cs="Arial" w:eastAsia="Arial" w:hAnsi="Arial"/>
          <w:b/>
          <w:bCs/>
          <w:color w:val="0D1117"/>
          <w:sz w:val="28"/>
          <w:szCs w:val="28"/>
        </w:rPr>
        <w:t xml:space="preserve">1.  Purpose</w:t>
      </w:r>
    </w:p>
    <w:p>
      <w:pPr>
        <w:spacing w:after="80" w:before="80"/>
        <w:jc w:val="left"/>
      </w:pPr>
      <w:r>
        <w:rPr>
          <w:rFonts w:ascii="Arial" w:cs="Arial" w:eastAsia="Arial" w:hAnsi="Arial"/>
          <w:b w:val="false"/>
          <w:bCs w:val="false"/>
          <w:i w:val="false"/>
          <w:iCs w:val="false"/>
          <w:color w:val="0D1117"/>
          <w:sz w:val="20"/>
          <w:szCs w:val="20"/>
        </w:rPr>
        <w:t xml:space="preserve">Ralph Analytics is committed to the responsible, ethical, and legally compliant use of Artificial Intelligence (AI). This policy establishes governance principles aligned with:</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EU AI Act — risk-based AI governance</w:t>
      </w:r>
    </w:p>
    <w:p>
      <w:pPr>
        <w:pStyle w:val="ListParagraph"/>
        <w:numPr>
          <w:ilvl w:val="0"/>
          <w:numId w:val="2"/>
        </w:numPr>
        <w:spacing w:after="40" w:before="40"/>
      </w:pPr>
      <w:r>
        <w:rPr>
          <w:rFonts w:ascii="Arial" w:cs="Arial" w:eastAsia="Arial" w:hAnsi="Arial"/>
          <w:color w:val="0D1117"/>
          <w:sz w:val="20"/>
          <w:szCs w:val="20"/>
        </w:rPr>
        <w:t xml:space="preserve">GDPR &amp; POPIA — data protection &amp; privacy</w:t>
      </w:r>
    </w:p>
    <w:p>
      <w:pPr>
        <w:pStyle w:val="ListParagraph"/>
        <w:numPr>
          <w:ilvl w:val="0"/>
          <w:numId w:val="2"/>
        </w:numPr>
        <w:spacing w:after="40" w:before="40"/>
      </w:pPr>
      <w:r>
        <w:rPr>
          <w:rFonts w:ascii="Arial" w:cs="Arial" w:eastAsia="Arial" w:hAnsi="Arial"/>
          <w:color w:val="0D1117"/>
          <w:sz w:val="20"/>
          <w:szCs w:val="20"/>
        </w:rPr>
        <w:t xml:space="preserve">South Africa National AI Policy — ethical, inclusive AI</w:t>
      </w:r>
    </w:p>
    <w:p>
      <w:pPr>
        <w:pStyle w:val="ListParagraph"/>
        <w:numPr>
          <w:ilvl w:val="0"/>
          <w:numId w:val="2"/>
        </w:numPr>
        <w:spacing w:after="40" w:before="40"/>
      </w:pPr>
      <w:r>
        <w:rPr>
          <w:rFonts w:ascii="Arial" w:cs="Arial" w:eastAsia="Arial" w:hAnsi="Arial"/>
          <w:color w:val="0D1117"/>
          <w:sz w:val="20"/>
          <w:szCs w:val="20"/>
        </w:rPr>
        <w:t xml:space="preserve">NIST AI Risk Management Framework (AI RMF)</w:t>
      </w:r>
    </w:p>
    <w:p>
      <w:pPr>
        <w:pStyle w:val="ListParagraph"/>
        <w:numPr>
          <w:ilvl w:val="0"/>
          <w:numId w:val="2"/>
        </w:numPr>
        <w:spacing w:after="40" w:before="40"/>
      </w:pPr>
      <w:r>
        <w:rPr>
          <w:rFonts w:ascii="Arial" w:cs="Arial" w:eastAsia="Arial" w:hAnsi="Arial"/>
          <w:color w:val="0D1117"/>
          <w:sz w:val="20"/>
          <w:szCs w:val="20"/>
        </w:rPr>
        <w:t xml:space="preserve">ISO/IEC 42001 — AI management systems</w:t>
      </w:r>
    </w:p>
    <w:p>
      <w:pPr>
        <w:spacing w:after="0" w:before="40"/>
      </w:pPr>
      <w:r>
        <w:t xml:space="preserve"/>
      </w:r>
    </w:p>
    <w:p>
      <w:pPr>
        <w:spacing w:after="80" w:before="80"/>
        <w:jc w:val="left"/>
      </w:pPr>
      <w:r>
        <w:rPr>
          <w:rFonts w:ascii="Arial" w:cs="Arial" w:eastAsia="Arial" w:hAnsi="Arial"/>
          <w:b w:val="false"/>
          <w:bCs w:val="false"/>
          <w:i w:val="false"/>
          <w:iCs w:val="false"/>
          <w:color w:val="0D1117"/>
          <w:sz w:val="20"/>
          <w:szCs w:val="20"/>
        </w:rPr>
        <w:t xml:space="preserve">The policy ensures AI systems are safe, transparent, accountable, and compliant, while enabling innovation across the Ralph Analytics platform.</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2.  Scope</w:t>
      </w:r>
    </w:p>
    <w:p>
      <w:pPr>
        <w:spacing w:after="80" w:before="80"/>
        <w:jc w:val="left"/>
      </w:pPr>
      <w:r>
        <w:rPr>
          <w:rFonts w:ascii="Arial" w:cs="Arial" w:eastAsia="Arial" w:hAnsi="Arial"/>
          <w:b w:val="false"/>
          <w:bCs w:val="false"/>
          <w:i w:val="false"/>
          <w:iCs w:val="false"/>
          <w:color w:val="0D1117"/>
          <w:sz w:val="20"/>
          <w:szCs w:val="20"/>
        </w:rPr>
        <w:t xml:space="preserve">This policy applies to all AI tools and systems used by or on behalf of Ralph Analytics, including:</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Generative AI tools (e.g., Copilot, ChatGPT, OpenAI GPT-4o)</w:t>
      </w:r>
    </w:p>
    <w:p>
      <w:pPr>
        <w:pStyle w:val="ListParagraph"/>
        <w:numPr>
          <w:ilvl w:val="0"/>
          <w:numId w:val="2"/>
        </w:numPr>
        <w:spacing w:after="40" w:before="40"/>
      </w:pPr>
      <w:r>
        <w:rPr>
          <w:rFonts w:ascii="Arial" w:cs="Arial" w:eastAsia="Arial" w:hAnsi="Arial"/>
          <w:color w:val="0D1117"/>
          <w:sz w:val="20"/>
          <w:szCs w:val="20"/>
        </w:rPr>
        <w:t xml:space="preserve">Machine learning models — internal and external</w:t>
      </w:r>
    </w:p>
    <w:p>
      <w:pPr>
        <w:pStyle w:val="ListParagraph"/>
        <w:numPr>
          <w:ilvl w:val="0"/>
          <w:numId w:val="2"/>
        </w:numPr>
        <w:spacing w:after="40" w:before="40"/>
      </w:pPr>
      <w:r>
        <w:rPr>
          <w:rFonts w:ascii="Arial" w:cs="Arial" w:eastAsia="Arial" w:hAnsi="Arial"/>
          <w:color w:val="0D1117"/>
          <w:sz w:val="20"/>
          <w:szCs w:val="20"/>
        </w:rPr>
        <w:t xml:space="preserve">Automated decision-making systems</w:t>
      </w:r>
    </w:p>
    <w:p>
      <w:pPr>
        <w:pStyle w:val="ListParagraph"/>
        <w:numPr>
          <w:ilvl w:val="0"/>
          <w:numId w:val="2"/>
        </w:numPr>
        <w:spacing w:after="40" w:before="40"/>
      </w:pPr>
      <w:r>
        <w:rPr>
          <w:rFonts w:ascii="Arial" w:cs="Arial" w:eastAsia="Arial" w:hAnsi="Arial"/>
          <w:color w:val="0D1117"/>
          <w:sz w:val="20"/>
          <w:szCs w:val="20"/>
        </w:rPr>
        <w:t xml:space="preserve">AI-enabled analytics platforms and microservices</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3.  AI Risk Classification (EU AI Act Alignment)</w:t>
      </w:r>
    </w:p>
    <w:p>
      <w:pPr>
        <w:spacing w:after="80" w:before="80"/>
        <w:jc w:val="left"/>
      </w:pPr>
      <w:r>
        <w:rPr>
          <w:rFonts w:ascii="Arial" w:cs="Arial" w:eastAsia="Arial" w:hAnsi="Arial"/>
          <w:b w:val="false"/>
          <w:bCs w:val="false"/>
          <w:i w:val="false"/>
          <w:iCs w:val="false"/>
          <w:color w:val="0D1117"/>
          <w:sz w:val="20"/>
          <w:szCs w:val="20"/>
        </w:rPr>
        <w:t xml:space="preserve">AI use must be classified and managed according to risk level. Employees must escalate High-Risk AI use cases to management before 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2D3147" w:sz="6"/>
              <w:left w:val="single" w:color="2D3147" w:sz="6"/>
              <w:bottom w:val="single" w:color="2D3147" w:sz="6"/>
              <w:right w:val="single" w:color="2D3147" w:sz="6"/>
            </w:tcBorders>
            <w:shd w:fill="2D3147"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Level</w:t>
            </w:r>
          </w:p>
        </w:tc>
        <w:tc>
          <w:tcPr>
            <w:tcW w:type="dxa" w:w="2200"/>
            <w:tcBorders>
              <w:top w:val="single" w:color="2D3147" w:sz="6"/>
              <w:left w:val="single" w:color="2D3147" w:sz="6"/>
              <w:bottom w:val="single" w:color="2D3147" w:sz="6"/>
              <w:right w:val="single" w:color="2D3147" w:sz="6"/>
            </w:tcBorders>
            <w:shd w:fill="2D3147"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400"/>
            <w:tcBorders>
              <w:top w:val="single" w:color="2D3147" w:sz="6"/>
              <w:left w:val="single" w:color="2D3147" w:sz="6"/>
              <w:bottom w:val="single" w:color="2D3147" w:sz="6"/>
              <w:right w:val="single" w:color="2D3147" w:sz="6"/>
            </w:tcBorders>
            <w:shd w:fill="2D3147"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Requirements</w:t>
            </w:r>
          </w:p>
        </w:tc>
        <w:tc>
          <w:tcPr>
            <w:tcW w:type="dxa" w:w="3160"/>
            <w:tcBorders>
              <w:top w:val="single" w:color="2D3147" w:sz="6"/>
              <w:left w:val="single" w:color="2D3147" w:sz="6"/>
              <w:bottom w:val="single" w:color="2D3147" w:sz="6"/>
              <w:right w:val="single" w:color="2D3147" w:sz="6"/>
            </w:tcBorders>
            <w:shd w:fill="2D3147"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r>
      <w:tr>
        <w:tc>
          <w:tcPr>
            <w:tcW w:type="dxa" w:w="1600"/>
            <w:tcBorders>
              <w:top w:val="single" w:color="E2E4E9" w:sz="6"/>
              <w:left w:val="single" w:color="E2E4E9" w:sz="6"/>
              <w:bottom w:val="single" w:color="E2E4E9" w:sz="6"/>
              <w:right w:val="single" w:color="E2E4E9" w:sz="6"/>
            </w:tcBorders>
            <w:shd w:fill="FEF2F2" w:val="clear"/>
            <w:tcMar>
              <w:top w:type="dxa" w:w="100"/>
              <w:left w:type="dxa" w:w="140"/>
              <w:bottom w:type="dxa" w:w="100"/>
              <w:right w:type="dxa" w:w="140"/>
            </w:tcMar>
            <w:vAlign w:val="center"/>
          </w:tcPr>
          <w:p>
            <w:r>
              <w:rPr>
                <w:rFonts w:ascii="Arial" w:cs="Arial" w:eastAsia="Arial" w:hAnsi="Arial"/>
                <w:b/>
                <w:bCs/>
                <w:color w:val="B91C1C"/>
                <w:sz w:val="19"/>
                <w:szCs w:val="19"/>
              </w:rPr>
              <w:t xml:space="preserve">Unacceptable Risk</w:t>
            </w:r>
          </w:p>
        </w:tc>
        <w:tc>
          <w:tcPr>
            <w:tcW w:type="dxa" w:w="22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Harmful or manipulative AI posing unacceptable societal risk</w:t>
            </w:r>
          </w:p>
        </w:tc>
        <w:tc>
          <w:tcPr>
            <w:tcW w:type="dxa" w:w="24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Strictly prohibited</w:t>
            </w:r>
          </w:p>
        </w:tc>
        <w:tc>
          <w:tcPr>
            <w:tcW w:type="dxa" w:w="3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Social scoring, biometric mass surveillance</w:t>
            </w:r>
          </w:p>
        </w:tc>
      </w:tr>
      <w:tr>
        <w:tc>
          <w:tcPr>
            <w:tcW w:type="dxa" w:w="1600"/>
            <w:tcBorders>
              <w:top w:val="single" w:color="E2E4E9" w:sz="6"/>
              <w:left w:val="single" w:color="E2E4E9" w:sz="6"/>
              <w:bottom w:val="single" w:color="E2E4E9" w:sz="6"/>
              <w:right w:val="single" w:color="E2E4E9" w:sz="6"/>
            </w:tcBorders>
            <w:shd w:fill="FFFBEB" w:val="clear"/>
            <w:tcMar>
              <w:top w:type="dxa" w:w="100"/>
              <w:left w:type="dxa" w:w="140"/>
              <w:bottom w:type="dxa" w:w="100"/>
              <w:right w:type="dxa" w:w="140"/>
            </w:tcMar>
            <w:vAlign w:val="center"/>
          </w:tcPr>
          <w:p>
            <w:r>
              <w:rPr>
                <w:rFonts w:ascii="Arial" w:cs="Arial" w:eastAsia="Arial" w:hAnsi="Arial"/>
                <w:b/>
                <w:bCs/>
                <w:color w:val="D97706"/>
                <w:sz w:val="19"/>
                <w:szCs w:val="19"/>
              </w:rPr>
              <w:t xml:space="preserve">High Risk</w:t>
            </w:r>
          </w:p>
        </w:tc>
        <w:tc>
          <w:tcPr>
            <w:tcW w:type="dxa" w:w="22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AI affecting individual rights, finances, or material outcomes</w:t>
            </w:r>
          </w:p>
        </w:tc>
        <w:tc>
          <w:tcPr>
            <w:tcW w:type="dxa" w:w="24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Full governance documentation, risk assessment, human oversight, management approval required before deployment</w:t>
            </w:r>
          </w:p>
        </w:tc>
        <w:tc>
          <w:tcPr>
            <w:tcW w:type="dxa" w:w="3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Automated compliance decisions, client risk scoring</w:t>
            </w:r>
          </w:p>
        </w:tc>
      </w:tr>
      <w:tr>
        <w:tc>
          <w:tcPr>
            <w:tcW w:type="dxa" w:w="1600"/>
            <w:tcBorders>
              <w:top w:val="single" w:color="E2E4E9" w:sz="6"/>
              <w:left w:val="single" w:color="E2E4E9" w:sz="6"/>
              <w:bottom w:val="single" w:color="E2E4E9" w:sz="6"/>
              <w:right w:val="single" w:color="E2E4E9" w:sz="6"/>
            </w:tcBorders>
            <w:shd w:fill="EFF6FF" w:val="clear"/>
            <w:tcMar>
              <w:top w:type="dxa" w:w="100"/>
              <w:left w:type="dxa" w:w="140"/>
              <w:bottom w:type="dxa" w:w="100"/>
              <w:right w:type="dxa" w:w="140"/>
            </w:tcMar>
            <w:vAlign w:val="center"/>
          </w:tcPr>
          <w:p>
            <w:r>
              <w:rPr>
                <w:rFonts w:ascii="Arial" w:cs="Arial" w:eastAsia="Arial" w:hAnsi="Arial"/>
                <w:b/>
                <w:bCs/>
                <w:color w:val="2563EB"/>
                <w:sz w:val="19"/>
                <w:szCs w:val="19"/>
              </w:rPr>
              <w:t xml:space="preserve">Limited Risk</w:t>
            </w:r>
          </w:p>
        </w:tc>
        <w:tc>
          <w:tcPr>
            <w:tcW w:type="dxa" w:w="22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User-facing AI — chatbots, automation assistants, content generators</w:t>
            </w:r>
          </w:p>
        </w:tc>
        <w:tc>
          <w:tcPr>
            <w:tcW w:type="dxa" w:w="24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Transparency required — users must be informed they are interacting with AI</w:t>
            </w:r>
          </w:p>
        </w:tc>
        <w:tc>
          <w:tcPr>
            <w:tcW w:type="dxa" w:w="3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Client chatbots, AI-drafted reports, document summarisation</w:t>
            </w:r>
          </w:p>
        </w:tc>
      </w:tr>
      <w:tr>
        <w:tc>
          <w:tcPr>
            <w:tcW w:type="dxa" w:w="1600"/>
            <w:tcBorders>
              <w:top w:val="single" w:color="E2E4E9" w:sz="6"/>
              <w:left w:val="single" w:color="E2E4E9" w:sz="6"/>
              <w:bottom w:val="single" w:color="E2E4E9" w:sz="6"/>
              <w:right w:val="single" w:color="E2E4E9" w:sz="6"/>
            </w:tcBorders>
            <w:shd w:fill="F0FDF4" w:val="clear"/>
            <w:tcMar>
              <w:top w:type="dxa" w:w="100"/>
              <w:left w:type="dxa" w:w="140"/>
              <w:bottom w:type="dxa" w:w="100"/>
              <w:right w:type="dxa" w:w="140"/>
            </w:tcMar>
            <w:vAlign w:val="center"/>
          </w:tcPr>
          <w:p>
            <w:r>
              <w:rPr>
                <w:rFonts w:ascii="Arial" w:cs="Arial" w:eastAsia="Arial" w:hAnsi="Arial"/>
                <w:b/>
                <w:bCs/>
                <w:color w:val="16A34A"/>
                <w:sz w:val="19"/>
                <w:szCs w:val="19"/>
              </w:rPr>
              <w:t xml:space="preserve">Minimal Risk</w:t>
            </w:r>
          </w:p>
        </w:tc>
        <w:tc>
          <w:tcPr>
            <w:tcW w:type="dxa" w:w="22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Internal tools with low societal or business impact</w:t>
            </w:r>
          </w:p>
        </w:tc>
        <w:tc>
          <w:tcPr>
            <w:tcW w:type="dxa" w:w="24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Standard security and quality controls apply</w:t>
            </w:r>
          </w:p>
        </w:tc>
        <w:tc>
          <w:tcPr>
            <w:tcW w:type="dxa" w:w="3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Internal research tools, data exploration, code assistance</w:t>
            </w:r>
          </w:p>
        </w:tc>
      </w:tr>
    </w:tbl>
    <w:p>
      <w:pPr>
        <w:spacing w:after="0" w:before="80"/>
      </w:pPr>
      <w:r>
        <w:t xml:space="preserve"/>
      </w:r>
    </w:p>
    <w:p>
      <w:pPr>
        <w:pStyle w:val="Heading1"/>
        <w:spacing w:after="140" w:before="320"/>
      </w:pPr>
      <w:r>
        <w:rPr>
          <w:rFonts w:ascii="Arial" w:cs="Arial" w:eastAsia="Arial" w:hAnsi="Arial"/>
          <w:b/>
          <w:bCs/>
          <w:color w:val="0D1117"/>
          <w:sz w:val="28"/>
          <w:szCs w:val="28"/>
        </w:rPr>
        <w:t xml:space="preserve">4.  Guiding Principles</w:t>
      </w:r>
    </w:p>
    <w:p>
      <w:pPr>
        <w:spacing w:after="80" w:before="80"/>
        <w:jc w:val="left"/>
      </w:pPr>
      <w:r>
        <w:rPr>
          <w:rFonts w:ascii="Arial" w:cs="Arial" w:eastAsia="Arial" w:hAnsi="Arial"/>
          <w:b w:val="false"/>
          <w:bCs w:val="false"/>
          <w:i w:val="false"/>
          <w:iCs w:val="false"/>
          <w:color w:val="0D1117"/>
          <w:sz w:val="20"/>
          <w:szCs w:val="20"/>
        </w:rPr>
        <w:t xml:space="preserve">Aligned with NIST AI RMF &amp; ISO/IEC 42001:</w:t>
      </w:r>
    </w:p>
    <w:p>
      <w:pPr>
        <w:spacing w:after="0" w:before="40"/>
      </w:pPr>
      <w:r>
        <w:t xml:space="preserve"/>
      </w:r>
    </w:p>
    <w:p>
      <w:pPr>
        <w:spacing w:after="80" w:before="200"/>
      </w:pPr>
      <w:r>
        <w:rPr>
          <w:rFonts w:ascii="Arial" w:cs="Arial" w:eastAsia="Arial" w:hAnsi="Arial"/>
          <w:b/>
          <w:bCs/>
          <w:color w:val="E8521A"/>
          <w:sz w:val="22"/>
          <w:szCs w:val="22"/>
        </w:rPr>
        <w:t xml:space="preserve">4.1 </w:t>
      </w:r>
      <w:r>
        <w:rPr>
          <w:rFonts w:ascii="Arial" w:cs="Arial" w:eastAsia="Arial" w:hAnsi="Arial"/>
          <w:b/>
          <w:bCs/>
          <w:color w:val="0D1117"/>
          <w:sz w:val="22"/>
          <w:szCs w:val="22"/>
        </w:rPr>
        <w:t xml:space="preserve">Lawfulness &amp; Compliance</w:t>
      </w:r>
    </w:p>
    <w:p>
      <w:pPr>
        <w:spacing w:after="80" w:before="80"/>
        <w:jc w:val="left"/>
      </w:pPr>
      <w:r>
        <w:rPr>
          <w:rFonts w:ascii="Arial" w:cs="Arial" w:eastAsia="Arial" w:hAnsi="Arial"/>
          <w:b w:val="false"/>
          <w:bCs w:val="false"/>
          <w:i w:val="false"/>
          <w:iCs w:val="false"/>
          <w:color w:val="0D1117"/>
          <w:sz w:val="20"/>
          <w:szCs w:val="20"/>
        </w:rPr>
        <w:t xml:space="preserve">Comply with POPIA, GDPR, and applicable international laws. Process personal data only with a legal basis and in accordance with purpose limitation principles.</w:t>
      </w:r>
    </w:p>
    <w:p>
      <w:pPr>
        <w:spacing w:after="80" w:before="200"/>
      </w:pPr>
      <w:r>
        <w:rPr>
          <w:rFonts w:ascii="Arial" w:cs="Arial" w:eastAsia="Arial" w:hAnsi="Arial"/>
          <w:b/>
          <w:bCs/>
          <w:color w:val="E8521A"/>
          <w:sz w:val="22"/>
          <w:szCs w:val="22"/>
        </w:rPr>
        <w:t xml:space="preserve">4.2 </w:t>
      </w:r>
      <w:r>
        <w:rPr>
          <w:rFonts w:ascii="Arial" w:cs="Arial" w:eastAsia="Arial" w:hAnsi="Arial"/>
          <w:b/>
          <w:bCs/>
          <w:color w:val="0D1117"/>
          <w:sz w:val="22"/>
          <w:szCs w:val="22"/>
        </w:rPr>
        <w:t xml:space="preserve">Safety &amp; Risk Management</w:t>
      </w:r>
    </w:p>
    <w:p>
      <w:pPr>
        <w:spacing w:after="80" w:before="80"/>
        <w:jc w:val="left"/>
      </w:pPr>
      <w:r>
        <w:rPr>
          <w:rFonts w:ascii="Arial" w:cs="Arial" w:eastAsia="Arial" w:hAnsi="Arial"/>
          <w:b w:val="false"/>
          <w:bCs w:val="false"/>
          <w:i w:val="false"/>
          <w:iCs w:val="false"/>
          <w:color w:val="0D1117"/>
          <w:sz w:val="20"/>
          <w:szCs w:val="20"/>
        </w:rPr>
        <w:t xml:space="preserve">Identify, assess, and mitigate AI risks before deployment. Maintain risk registers and AI Impact Assessments for all high-risk AI applications.</w:t>
      </w:r>
    </w:p>
    <w:p>
      <w:pPr>
        <w:spacing w:after="80" w:before="200"/>
      </w:pPr>
      <w:r>
        <w:rPr>
          <w:rFonts w:ascii="Arial" w:cs="Arial" w:eastAsia="Arial" w:hAnsi="Arial"/>
          <w:b/>
          <w:bCs/>
          <w:color w:val="E8521A"/>
          <w:sz w:val="22"/>
          <w:szCs w:val="22"/>
        </w:rPr>
        <w:t xml:space="preserve">4.3 </w:t>
      </w:r>
      <w:r>
        <w:rPr>
          <w:rFonts w:ascii="Arial" w:cs="Arial" w:eastAsia="Arial" w:hAnsi="Arial"/>
          <w:b/>
          <w:bCs/>
          <w:color w:val="0D1117"/>
          <w:sz w:val="22"/>
          <w:szCs w:val="22"/>
        </w:rPr>
        <w:t xml:space="preserve">Human Oversight</w:t>
      </w:r>
    </w:p>
    <w:p>
      <w:pPr>
        <w:spacing w:after="80" w:before="80"/>
        <w:jc w:val="left"/>
      </w:pPr>
      <w:r>
        <w:rPr>
          <w:rFonts w:ascii="Arial" w:cs="Arial" w:eastAsia="Arial" w:hAnsi="Arial"/>
          <w:b w:val="false"/>
          <w:bCs w:val="false"/>
          <w:i w:val="false"/>
          <w:iCs w:val="false"/>
          <w:color w:val="0D1117"/>
          <w:sz w:val="20"/>
          <w:szCs w:val="20"/>
        </w:rPr>
        <w:t xml:space="preserve">No AI system may operate without appropriate human review mechanisms. Critical business and client decisions must remain under human control at all times.</w:t>
      </w:r>
    </w:p>
    <w:p>
      <w:pPr>
        <w:spacing w:after="80" w:before="200"/>
      </w:pPr>
      <w:r>
        <w:rPr>
          <w:rFonts w:ascii="Arial" w:cs="Arial" w:eastAsia="Arial" w:hAnsi="Arial"/>
          <w:b/>
          <w:bCs/>
          <w:color w:val="E8521A"/>
          <w:sz w:val="22"/>
          <w:szCs w:val="22"/>
        </w:rPr>
        <w:t xml:space="preserve">4.4 </w:t>
      </w:r>
      <w:r>
        <w:rPr>
          <w:rFonts w:ascii="Arial" w:cs="Arial" w:eastAsia="Arial" w:hAnsi="Arial"/>
          <w:b/>
          <w:bCs/>
          <w:color w:val="0D1117"/>
          <w:sz w:val="22"/>
          <w:szCs w:val="22"/>
        </w:rPr>
        <w:t xml:space="preserve">Transparency &amp; Explainability</w:t>
      </w:r>
    </w:p>
    <w:p>
      <w:pPr>
        <w:spacing w:after="80" w:before="80"/>
        <w:jc w:val="left"/>
      </w:pPr>
      <w:r>
        <w:rPr>
          <w:rFonts w:ascii="Arial" w:cs="Arial" w:eastAsia="Arial" w:hAnsi="Arial"/>
          <w:b w:val="false"/>
          <w:bCs w:val="false"/>
          <w:i w:val="false"/>
          <w:iCs w:val="false"/>
          <w:color w:val="0D1117"/>
          <w:sz w:val="20"/>
          <w:szCs w:val="20"/>
        </w:rPr>
        <w:t xml:space="preserve">Clearly disclose AI usage in client deliverables where relevant. Ensure that AI outputs are explainable and auditable for all business-critical decisions.</w:t>
      </w:r>
    </w:p>
    <w:p>
      <w:pPr>
        <w:spacing w:after="80" w:before="200"/>
      </w:pPr>
      <w:r>
        <w:rPr>
          <w:rFonts w:ascii="Arial" w:cs="Arial" w:eastAsia="Arial" w:hAnsi="Arial"/>
          <w:b/>
          <w:bCs/>
          <w:color w:val="E8521A"/>
          <w:sz w:val="22"/>
          <w:szCs w:val="22"/>
        </w:rPr>
        <w:t xml:space="preserve">4.5 </w:t>
      </w:r>
      <w:r>
        <w:rPr>
          <w:rFonts w:ascii="Arial" w:cs="Arial" w:eastAsia="Arial" w:hAnsi="Arial"/>
          <w:b/>
          <w:bCs/>
          <w:color w:val="0D1117"/>
          <w:sz w:val="22"/>
          <w:szCs w:val="22"/>
        </w:rPr>
        <w:t xml:space="preserve">Fairness &amp; Non-Discrimination</w:t>
      </w:r>
    </w:p>
    <w:p>
      <w:pPr>
        <w:spacing w:after="80" w:before="80"/>
        <w:jc w:val="left"/>
      </w:pPr>
      <w:r>
        <w:rPr>
          <w:rFonts w:ascii="Arial" w:cs="Arial" w:eastAsia="Arial" w:hAnsi="Arial"/>
          <w:b w:val="false"/>
          <w:bCs w:val="false"/>
          <w:i w:val="false"/>
          <w:iCs w:val="false"/>
          <w:color w:val="0D1117"/>
          <w:sz w:val="20"/>
          <w:szCs w:val="20"/>
        </w:rPr>
        <w:t xml:space="preserve">Actively avoid bias in data inputs, model design, and AI outputs. Regularly evaluate models for discriminatory or unfair outcomes.</w:t>
      </w:r>
    </w:p>
    <w:p>
      <w:pPr>
        <w:spacing w:after="80" w:before="200"/>
      </w:pPr>
      <w:r>
        <w:rPr>
          <w:rFonts w:ascii="Arial" w:cs="Arial" w:eastAsia="Arial" w:hAnsi="Arial"/>
          <w:b/>
          <w:bCs/>
          <w:color w:val="E8521A"/>
          <w:sz w:val="22"/>
          <w:szCs w:val="22"/>
        </w:rPr>
        <w:t xml:space="preserve">4.6 </w:t>
      </w:r>
      <w:r>
        <w:rPr>
          <w:rFonts w:ascii="Arial" w:cs="Arial" w:eastAsia="Arial" w:hAnsi="Arial"/>
          <w:b/>
          <w:bCs/>
          <w:color w:val="0D1117"/>
          <w:sz w:val="22"/>
          <w:szCs w:val="22"/>
        </w:rPr>
        <w:t xml:space="preserve">Accountability</w:t>
      </w:r>
    </w:p>
    <w:p>
      <w:pPr>
        <w:spacing w:after="80" w:before="80"/>
        <w:jc w:val="left"/>
      </w:pPr>
      <w:r>
        <w:rPr>
          <w:rFonts w:ascii="Arial" w:cs="Arial" w:eastAsia="Arial" w:hAnsi="Arial"/>
          <w:b w:val="false"/>
          <w:bCs w:val="false"/>
          <w:i w:val="false"/>
          <w:iCs w:val="false"/>
          <w:color w:val="0D1117"/>
          <w:sz w:val="20"/>
          <w:szCs w:val="20"/>
        </w:rPr>
        <w:t xml:space="preserve">All employees are individually responsible for all AI-assisted outputs they produce or submit. Clear ownership must be defined and documented for every AI system deployed.</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5.  Data Protection &amp; Privacy (POPIA &amp; GDPR)</w:t>
      </w:r>
    </w:p>
    <w:p>
      <w:pPr>
        <w:spacing w:after="80" w:before="200"/>
      </w:pPr>
      <w:r>
        <w:rPr>
          <w:rFonts w:ascii="Arial" w:cs="Arial" w:eastAsia="Arial" w:hAnsi="Arial"/>
          <w:b/>
          <w:bCs/>
          <w:color w:val="E8521A"/>
          <w:sz w:val="22"/>
          <w:szCs w:val="22"/>
        </w:rPr>
        <w:t xml:space="preserve">5.1 </w:t>
      </w:r>
      <w:r>
        <w:rPr>
          <w:rFonts w:ascii="Arial" w:cs="Arial" w:eastAsia="Arial" w:hAnsi="Arial"/>
          <w:b/>
          <w:bCs/>
          <w:color w:val="0D1117"/>
          <w:sz w:val="22"/>
          <w:szCs w:val="22"/>
        </w:rPr>
        <w:t xml:space="preserve">Information Officer Registration</w:t>
      </w:r>
    </w:p>
    <w:p>
      <w:pPr>
        <w:spacing w:after="80" w:before="80"/>
        <w:jc w:val="left"/>
      </w:pPr>
      <w:r>
        <w:rPr>
          <w:rFonts w:ascii="Arial" w:cs="Arial" w:eastAsia="Arial" w:hAnsi="Arial"/>
          <w:b w:val="false"/>
          <w:bCs w:val="false"/>
          <w:i w:val="false"/>
          <w:iCs w:val="false"/>
          <w:color w:val="0D1117"/>
          <w:sz w:val="20"/>
          <w:szCs w:val="20"/>
        </w:rPr>
        <w:t xml:space="preserve">Ralph Analytics has registered its Information Officer with the Information Regulator of South Africa in accordance with Section 55 of POPIA. The Information Officer is responsible for ensuring compliance with POPIA, including overseeing AI-related data processing activities.</w:t>
      </w:r>
    </w:p>
    <w:p>
      <w:pPr>
        <w:spacing w:after="0" w:before="40"/>
      </w:pPr>
      <w:r>
        <w:t xml:space="preserve"/>
      </w:r>
    </w:p>
    <w:p>
      <w:pPr>
        <w:spacing w:after="80" w:before="200"/>
      </w:pPr>
      <w:r>
        <w:rPr>
          <w:rFonts w:ascii="Arial" w:cs="Arial" w:eastAsia="Arial" w:hAnsi="Arial"/>
          <w:b/>
          <w:bCs/>
          <w:color w:val="E8521A"/>
          <w:sz w:val="22"/>
          <w:szCs w:val="22"/>
        </w:rPr>
        <w:t xml:space="preserve">5.2 </w:t>
      </w:r>
      <w:r>
        <w:rPr>
          <w:rFonts w:ascii="Arial" w:cs="Arial" w:eastAsia="Arial" w:hAnsi="Arial"/>
          <w:b/>
          <w:bCs/>
          <w:color w:val="0D1117"/>
          <w:sz w:val="22"/>
          <w:szCs w:val="22"/>
        </w:rPr>
        <w:t xml:space="preserve">OpenAI Data Processing Agreement</w:t>
      </w:r>
    </w:p>
    <w:p>
      <w:pPr>
        <w:spacing w:after="80" w:before="80"/>
        <w:jc w:val="left"/>
      </w:pPr>
      <w:r>
        <w:rPr>
          <w:rFonts w:ascii="Arial" w:cs="Arial" w:eastAsia="Arial" w:hAnsi="Arial"/>
          <w:b w:val="false"/>
          <w:bCs w:val="false"/>
          <w:i w:val="false"/>
          <w:iCs w:val="false"/>
          <w:color w:val="0D1117"/>
          <w:sz w:val="20"/>
          <w:szCs w:val="20"/>
        </w:rPr>
        <w:t xml:space="preserve">Ralph Analytics has executed a signed Data Processing Agreement (DPA) with OpenAI. This DPA governs the processing of data through OpenAI's API and ensures compliance with GDPR and POPIA obligations for cross-border data transfers. Key commitments include:</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OpenAI processes data as a Data Processor under instruction from Ralph Analytics as Data Controller</w:t>
      </w:r>
    </w:p>
    <w:p>
      <w:pPr>
        <w:pStyle w:val="ListParagraph"/>
        <w:numPr>
          <w:ilvl w:val="0"/>
          <w:numId w:val="2"/>
        </w:numPr>
        <w:spacing w:after="40" w:before="40"/>
      </w:pPr>
      <w:r>
        <w:rPr>
          <w:rFonts w:ascii="Arial" w:cs="Arial" w:eastAsia="Arial" w:hAnsi="Arial"/>
          <w:color w:val="0D1117"/>
          <w:sz w:val="20"/>
          <w:szCs w:val="20"/>
        </w:rPr>
        <w:t xml:space="preserve">Data is not used to train OpenAI models without explicit consent</w:t>
      </w:r>
    </w:p>
    <w:p>
      <w:pPr>
        <w:pStyle w:val="ListParagraph"/>
        <w:numPr>
          <w:ilvl w:val="0"/>
          <w:numId w:val="2"/>
        </w:numPr>
        <w:spacing w:after="40" w:before="40"/>
      </w:pPr>
      <w:r>
        <w:rPr>
          <w:rFonts w:ascii="Arial" w:cs="Arial" w:eastAsia="Arial" w:hAnsi="Arial"/>
          <w:color w:val="0D1117"/>
          <w:sz w:val="20"/>
          <w:szCs w:val="20"/>
        </w:rPr>
        <w:t xml:space="preserve">Enterprise-grade security and access controls are maintained</w:t>
      </w:r>
    </w:p>
    <w:p>
      <w:pPr>
        <w:pStyle w:val="ListParagraph"/>
        <w:numPr>
          <w:ilvl w:val="0"/>
          <w:numId w:val="2"/>
        </w:numPr>
        <w:spacing w:after="40" w:before="40"/>
      </w:pPr>
      <w:r>
        <w:rPr>
          <w:rFonts w:ascii="Arial" w:cs="Arial" w:eastAsia="Arial" w:hAnsi="Arial"/>
          <w:color w:val="0D1117"/>
          <w:sz w:val="20"/>
          <w:szCs w:val="20"/>
        </w:rPr>
        <w:t xml:space="preserve">Data retention limits are defined and enforced per the DPA terms</w:t>
      </w:r>
    </w:p>
    <w:p>
      <w:pPr>
        <w:pStyle w:val="ListParagraph"/>
        <w:numPr>
          <w:ilvl w:val="0"/>
          <w:numId w:val="2"/>
        </w:numPr>
        <w:spacing w:after="40" w:before="40"/>
      </w:pPr>
      <w:r>
        <w:rPr>
          <w:rFonts w:ascii="Arial" w:cs="Arial" w:eastAsia="Arial" w:hAnsi="Arial"/>
          <w:color w:val="0D1117"/>
          <w:sz w:val="20"/>
          <w:szCs w:val="20"/>
        </w:rPr>
        <w:t xml:space="preserve">Standard Contractual Clauses (SCCs) apply for cross-border transfers outside South Africa</w:t>
      </w:r>
    </w:p>
    <w:p>
      <w:pPr>
        <w:spacing w:after="0" w:before="40"/>
      </w:pPr>
      <w:r>
        <w:t xml:space="preserve"/>
      </w:r>
    </w:p>
    <w:p>
      <w:pPr>
        <w:spacing w:after="80" w:before="200"/>
      </w:pPr>
      <w:r>
        <w:rPr>
          <w:rFonts w:ascii="Arial" w:cs="Arial" w:eastAsia="Arial" w:hAnsi="Arial"/>
          <w:b/>
          <w:bCs/>
          <w:color w:val="E8521A"/>
          <w:sz w:val="22"/>
          <w:szCs w:val="22"/>
        </w:rPr>
        <w:t xml:space="preserve">5.3 </w:t>
      </w:r>
      <w:r>
        <w:rPr>
          <w:rFonts w:ascii="Arial" w:cs="Arial" w:eastAsia="Arial" w:hAnsi="Arial"/>
          <w:b/>
          <w:bCs/>
          <w:color w:val="0D1117"/>
          <w:sz w:val="22"/>
          <w:szCs w:val="22"/>
        </w:rPr>
        <w:t xml:space="preserve">Data Handling Rules</w:t>
      </w:r>
    </w:p>
    <w:p>
      <w:pPr>
        <w:spacing w:after="80" w:before="80"/>
        <w:jc w:val="left"/>
      </w:pPr>
      <w:r>
        <w:rPr>
          <w:rFonts w:ascii="Arial" w:cs="Arial" w:eastAsia="Arial" w:hAnsi="Arial"/>
          <w:b w:val="false"/>
          <w:bCs w:val="false"/>
          <w:i w:val="false"/>
          <w:iCs w:val="false"/>
          <w:color w:val="0D1117"/>
          <w:sz w:val="20"/>
          <w:szCs w:val="20"/>
        </w:rPr>
        <w:t xml:space="preserve">The following categories of data must NEVER be uploaded to public or unapproved AI platforms:</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Personal data / Personally Identifiable Information (PII)</w:t>
      </w:r>
    </w:p>
    <w:p>
      <w:pPr>
        <w:pStyle w:val="ListParagraph"/>
        <w:numPr>
          <w:ilvl w:val="0"/>
          <w:numId w:val="2"/>
        </w:numPr>
        <w:spacing w:after="40" w:before="40"/>
      </w:pPr>
      <w:r>
        <w:rPr>
          <w:rFonts w:ascii="Arial" w:cs="Arial" w:eastAsia="Arial" w:hAnsi="Arial"/>
          <w:color w:val="0D1117"/>
          <w:sz w:val="20"/>
          <w:szCs w:val="20"/>
        </w:rPr>
        <w:t xml:space="preserve">Client confidential data, trade secrets, or privileged information</w:t>
      </w:r>
    </w:p>
    <w:p>
      <w:pPr>
        <w:pStyle w:val="ListParagraph"/>
        <w:numPr>
          <w:ilvl w:val="0"/>
          <w:numId w:val="2"/>
        </w:numPr>
        <w:spacing w:after="40" w:before="40"/>
      </w:pPr>
      <w:r>
        <w:rPr>
          <w:rFonts w:ascii="Arial" w:cs="Arial" w:eastAsia="Arial" w:hAnsi="Arial"/>
          <w:color w:val="0D1117"/>
          <w:sz w:val="20"/>
          <w:szCs w:val="20"/>
        </w:rPr>
        <w:t xml:space="preserve">Financial, regulated, or legally sensitive information</w:t>
      </w:r>
    </w:p>
    <w:p>
      <w:pPr>
        <w:pStyle w:val="ListParagraph"/>
        <w:numPr>
          <w:ilvl w:val="0"/>
          <w:numId w:val="2"/>
        </w:numPr>
        <w:spacing w:after="40" w:before="40"/>
      </w:pPr>
      <w:r>
        <w:rPr>
          <w:rFonts w:ascii="Arial" w:cs="Arial" w:eastAsia="Arial" w:hAnsi="Arial"/>
          <w:color w:val="0D1117"/>
          <w:sz w:val="20"/>
          <w:szCs w:val="20"/>
        </w:rPr>
        <w:t xml:space="preserve">Health, biometric, or special category data</w:t>
      </w:r>
    </w:p>
    <w:p>
      <w:pPr>
        <w:spacing w:after="0" w:before="40"/>
      </w:pPr>
      <w:r>
        <w:t xml:space="preserve"/>
      </w:r>
    </w:p>
    <w:p>
      <w:pPr>
        <w:spacing w:after="80" w:before="80"/>
        <w:jc w:val="left"/>
      </w:pPr>
      <w:r>
        <w:rPr>
          <w:rFonts w:ascii="Arial" w:cs="Arial" w:eastAsia="Arial" w:hAnsi="Arial"/>
          <w:b w:val="false"/>
          <w:bCs w:val="false"/>
          <w:i w:val="false"/>
          <w:iCs w:val="false"/>
          <w:color w:val="0D1117"/>
          <w:sz w:val="20"/>
          <w:szCs w:val="20"/>
        </w:rPr>
        <w:t xml:space="preserve">Employees must apply data minimisation and purpose limitation principles at all times.</w:t>
      </w:r>
    </w:p>
    <w:p>
      <w:pPr>
        <w:spacing w:after="80" w:before="200"/>
      </w:pPr>
      <w:r>
        <w:rPr>
          <w:rFonts w:ascii="Arial" w:cs="Arial" w:eastAsia="Arial" w:hAnsi="Arial"/>
          <w:b/>
          <w:bCs/>
          <w:color w:val="E8521A"/>
          <w:sz w:val="22"/>
          <w:szCs w:val="22"/>
        </w:rPr>
        <w:t xml:space="preserve">5.4 </w:t>
      </w:r>
      <w:r>
        <w:rPr>
          <w:rFonts w:ascii="Arial" w:cs="Arial" w:eastAsia="Arial" w:hAnsi="Arial"/>
          <w:b/>
          <w:bCs/>
          <w:color w:val="0D1117"/>
          <w:sz w:val="22"/>
          <w:szCs w:val="22"/>
        </w:rPr>
        <w:t xml:space="preserve">Security Controls</w:t>
      </w:r>
    </w:p>
    <w:p>
      <w:pPr>
        <w:pStyle w:val="ListParagraph"/>
        <w:numPr>
          <w:ilvl w:val="0"/>
          <w:numId w:val="2"/>
        </w:numPr>
        <w:spacing w:after="40" w:before="40"/>
      </w:pPr>
      <w:r>
        <w:rPr>
          <w:rFonts w:ascii="Arial" w:cs="Arial" w:eastAsia="Arial" w:hAnsi="Arial"/>
          <w:color w:val="0D1117"/>
          <w:sz w:val="20"/>
          <w:szCs w:val="20"/>
        </w:rPr>
        <w:t xml:space="preserve">Use only AI tools approved by the Data/AI Lead and Managing Director</w:t>
      </w:r>
    </w:p>
    <w:p>
      <w:pPr>
        <w:pStyle w:val="ListParagraph"/>
        <w:numPr>
          <w:ilvl w:val="0"/>
          <w:numId w:val="2"/>
        </w:numPr>
        <w:spacing w:after="40" w:before="40"/>
      </w:pPr>
      <w:r>
        <w:rPr>
          <w:rFonts w:ascii="Arial" w:cs="Arial" w:eastAsia="Arial" w:hAnsi="Arial"/>
          <w:color w:val="0D1117"/>
          <w:sz w:val="20"/>
          <w:szCs w:val="20"/>
        </w:rPr>
        <w:t xml:space="preserve">Apply anonymisation or pseudonymisation to datasets before AI processing where possible</w:t>
      </w:r>
    </w:p>
    <w:p>
      <w:pPr>
        <w:pStyle w:val="ListParagraph"/>
        <w:numPr>
          <w:ilvl w:val="0"/>
          <w:numId w:val="2"/>
        </w:numPr>
        <w:spacing w:after="40" w:before="40"/>
      </w:pPr>
      <w:r>
        <w:rPr>
          <w:rFonts w:ascii="Arial" w:cs="Arial" w:eastAsia="Arial" w:hAnsi="Arial"/>
          <w:color w:val="0D1117"/>
          <w:sz w:val="20"/>
          <w:szCs w:val="20"/>
        </w:rPr>
        <w:t xml:space="preserve">Ensure enterprise-grade security and access controls for all AI tools</w:t>
      </w:r>
    </w:p>
    <w:p>
      <w:pPr>
        <w:pStyle w:val="ListParagraph"/>
        <w:numPr>
          <w:ilvl w:val="0"/>
          <w:numId w:val="2"/>
        </w:numPr>
        <w:spacing w:after="40" w:before="40"/>
      </w:pPr>
      <w:r>
        <w:rPr>
          <w:rFonts w:ascii="Arial" w:cs="Arial" w:eastAsia="Arial" w:hAnsi="Arial"/>
          <w:color w:val="0D1117"/>
          <w:sz w:val="20"/>
          <w:szCs w:val="20"/>
        </w:rPr>
        <w:t xml:space="preserve">Audit access logs for AI systems handling sensitive or client data</w:t>
      </w:r>
    </w:p>
    <w:p>
      <w:pPr>
        <w:spacing w:after="80" w:before="200"/>
      </w:pPr>
      <w:r>
        <w:rPr>
          <w:rFonts w:ascii="Arial" w:cs="Arial" w:eastAsia="Arial" w:hAnsi="Arial"/>
          <w:b/>
          <w:bCs/>
          <w:color w:val="E8521A"/>
          <w:sz w:val="22"/>
          <w:szCs w:val="22"/>
        </w:rPr>
        <w:t xml:space="preserve">5.5 </w:t>
      </w:r>
      <w:r>
        <w:rPr>
          <w:rFonts w:ascii="Arial" w:cs="Arial" w:eastAsia="Arial" w:hAnsi="Arial"/>
          <w:b/>
          <w:bCs/>
          <w:color w:val="0D1117"/>
          <w:sz w:val="22"/>
          <w:szCs w:val="22"/>
        </w:rPr>
        <w:t xml:space="preserve">Cross-Border Data Transfers</w:t>
      </w:r>
    </w:p>
    <w:p>
      <w:pPr>
        <w:spacing w:after="80" w:before="80"/>
        <w:jc w:val="left"/>
      </w:pPr>
      <w:r>
        <w:rPr>
          <w:rFonts w:ascii="Arial" w:cs="Arial" w:eastAsia="Arial" w:hAnsi="Arial"/>
          <w:b w:val="false"/>
          <w:bCs w:val="false"/>
          <w:i w:val="false"/>
          <w:iCs w:val="false"/>
          <w:color w:val="0D1117"/>
          <w:sz w:val="20"/>
          <w:szCs w:val="20"/>
        </w:rPr>
        <w:t xml:space="preserve">When AI tools are hosted outside South Africa, employees must ensure appropriate safeguards in compliance with POPIA Section 72 and GDPR Article 46. The signed OpenAI DPA satisfies this requirement for OpenAI API usage. Consult the Information Officer before using any other internationally-hosted AI tool with client or personal data.</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6.  Acceptable Use</w:t>
      </w:r>
    </w:p>
    <w:p>
      <w:pPr>
        <w:spacing w:after="80" w:before="80"/>
        <w:jc w:val="left"/>
      </w:pPr>
      <w:r>
        <w:rPr>
          <w:rFonts w:ascii="Arial" w:cs="Arial" w:eastAsia="Arial" w:hAnsi="Arial"/>
          <w:b w:val="false"/>
          <w:bCs w:val="false"/>
          <w:i w:val="false"/>
          <w:iCs w:val="false"/>
          <w:color w:val="0D1117"/>
          <w:sz w:val="20"/>
          <w:szCs w:val="20"/>
        </w:rPr>
        <w:t xml:space="preserve">AI may be used for the following approved purposes:</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Drafting reports, proposals, code, and internal documentation</w:t>
      </w:r>
    </w:p>
    <w:p>
      <w:pPr>
        <w:pStyle w:val="ListParagraph"/>
        <w:numPr>
          <w:ilvl w:val="0"/>
          <w:numId w:val="2"/>
        </w:numPr>
        <w:spacing w:after="40" w:before="40"/>
      </w:pPr>
      <w:r>
        <w:rPr>
          <w:rFonts w:ascii="Arial" w:cs="Arial" w:eastAsia="Arial" w:hAnsi="Arial"/>
          <w:color w:val="0D1117"/>
          <w:sz w:val="20"/>
          <w:szCs w:val="20"/>
        </w:rPr>
        <w:t xml:space="preserve">Data exploration and analysis using non-sensitive, anonymised datasets</w:t>
      </w:r>
    </w:p>
    <w:p>
      <w:pPr>
        <w:pStyle w:val="ListParagraph"/>
        <w:numPr>
          <w:ilvl w:val="0"/>
          <w:numId w:val="2"/>
        </w:numPr>
        <w:spacing w:after="40" w:before="40"/>
      </w:pPr>
      <w:r>
        <w:rPr>
          <w:rFonts w:ascii="Arial" w:cs="Arial" w:eastAsia="Arial" w:hAnsi="Arial"/>
          <w:color w:val="0D1117"/>
          <w:sz w:val="20"/>
          <w:szCs w:val="20"/>
        </w:rPr>
        <w:t xml:space="preserve">Automation of internal administrative workflows</w:t>
      </w:r>
    </w:p>
    <w:p>
      <w:pPr>
        <w:pStyle w:val="ListParagraph"/>
        <w:numPr>
          <w:ilvl w:val="0"/>
          <w:numId w:val="2"/>
        </w:numPr>
        <w:spacing w:after="40" w:before="40"/>
      </w:pPr>
      <w:r>
        <w:rPr>
          <w:rFonts w:ascii="Arial" w:cs="Arial" w:eastAsia="Arial" w:hAnsi="Arial"/>
          <w:color w:val="0D1117"/>
          <w:sz w:val="20"/>
          <w:szCs w:val="20"/>
        </w:rPr>
        <w:t xml:space="preserve">Research, literature review, and summarisation tasks</w:t>
      </w:r>
    </w:p>
    <w:p>
      <w:pPr>
        <w:pStyle w:val="ListParagraph"/>
        <w:numPr>
          <w:ilvl w:val="0"/>
          <w:numId w:val="2"/>
        </w:numPr>
        <w:spacing w:after="40" w:before="40"/>
      </w:pPr>
      <w:r>
        <w:rPr>
          <w:rFonts w:ascii="Arial" w:cs="Arial" w:eastAsia="Arial" w:hAnsi="Arial"/>
          <w:color w:val="0D1117"/>
          <w:sz w:val="20"/>
          <w:szCs w:val="20"/>
        </w:rPr>
        <w:t xml:space="preserve">Model prototyping and experimentation using approved datasets</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7.  Prohibited Use</w:t>
      </w:r>
    </w:p>
    <w:p>
      <w:pPr>
        <w:spacing w:after="80" w:before="80"/>
        <w:jc w:val="left"/>
      </w:pPr>
      <w:r>
        <w:rPr>
          <w:rFonts w:ascii="Arial" w:cs="Arial" w:eastAsia="Arial" w:hAnsi="Arial"/>
          <w:b w:val="false"/>
          <w:bCs w:val="false"/>
          <w:i w:val="false"/>
          <w:iCs w:val="false"/>
          <w:color w:val="0D1117"/>
          <w:sz w:val="20"/>
          <w:szCs w:val="20"/>
        </w:rPr>
        <w:t xml:space="preserve">The following uses are strictly prohibited at Ralph Analytics:</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Uploading sensitive, personal, client, or regulated data to unapproved AI platforms</w:t>
      </w:r>
    </w:p>
    <w:p>
      <w:pPr>
        <w:pStyle w:val="ListParagraph"/>
        <w:numPr>
          <w:ilvl w:val="0"/>
          <w:numId w:val="2"/>
        </w:numPr>
        <w:spacing w:after="40" w:before="40"/>
      </w:pPr>
      <w:r>
        <w:rPr>
          <w:rFonts w:ascii="Arial" w:cs="Arial" w:eastAsia="Arial" w:hAnsi="Arial"/>
          <w:color w:val="0D1117"/>
          <w:sz w:val="20"/>
          <w:szCs w:val="20"/>
        </w:rPr>
        <w:t xml:space="preserve">Using AI to generate unlawful, unethical, misleading, or defamatory content</w:t>
      </w:r>
    </w:p>
    <w:p>
      <w:pPr>
        <w:pStyle w:val="ListParagraph"/>
        <w:numPr>
          <w:ilvl w:val="0"/>
          <w:numId w:val="2"/>
        </w:numPr>
        <w:spacing w:after="40" w:before="40"/>
      </w:pPr>
      <w:r>
        <w:rPr>
          <w:rFonts w:ascii="Arial" w:cs="Arial" w:eastAsia="Arial" w:hAnsi="Arial"/>
          <w:color w:val="0D1117"/>
          <w:sz w:val="20"/>
          <w:szCs w:val="20"/>
        </w:rPr>
        <w:t xml:space="preserve">Fully automated decision-making that materially affects clients without human oversight</w:t>
      </w:r>
    </w:p>
    <w:p>
      <w:pPr>
        <w:pStyle w:val="ListParagraph"/>
        <w:numPr>
          <w:ilvl w:val="0"/>
          <w:numId w:val="2"/>
        </w:numPr>
        <w:spacing w:after="40" w:before="40"/>
      </w:pPr>
      <w:r>
        <w:rPr>
          <w:rFonts w:ascii="Arial" w:cs="Arial" w:eastAsia="Arial" w:hAnsi="Arial"/>
          <w:color w:val="0D1117"/>
          <w:sz w:val="20"/>
          <w:szCs w:val="20"/>
        </w:rPr>
        <w:t xml:space="preserve">Deploying AI systems assessed as medium or high risk without prior management approval and documented risk assessment</w:t>
      </w:r>
    </w:p>
    <w:p>
      <w:pPr>
        <w:pStyle w:val="ListParagraph"/>
        <w:numPr>
          <w:ilvl w:val="0"/>
          <w:numId w:val="2"/>
        </w:numPr>
        <w:spacing w:after="40" w:before="40"/>
      </w:pPr>
      <w:r>
        <w:rPr>
          <w:rFonts w:ascii="Arial" w:cs="Arial" w:eastAsia="Arial" w:hAnsi="Arial"/>
          <w:color w:val="0D1117"/>
          <w:sz w:val="20"/>
          <w:szCs w:val="20"/>
        </w:rPr>
        <w:t xml:space="preserve">Generating discriminatory, biased, or harmful outputs</w:t>
      </w:r>
    </w:p>
    <w:p>
      <w:pPr>
        <w:pStyle w:val="ListParagraph"/>
        <w:numPr>
          <w:ilvl w:val="0"/>
          <w:numId w:val="2"/>
        </w:numPr>
        <w:spacing w:after="40" w:before="40"/>
      </w:pPr>
      <w:r>
        <w:rPr>
          <w:rFonts w:ascii="Arial" w:cs="Arial" w:eastAsia="Arial" w:hAnsi="Arial"/>
          <w:color w:val="0D1117"/>
          <w:sz w:val="20"/>
          <w:szCs w:val="20"/>
        </w:rPr>
        <w:t xml:space="preserve">Representing AI-generated work as entirely human-produced to clients without disclosure</w:t>
      </w:r>
    </w:p>
    <w:p>
      <w:pPr>
        <w:spacing w:after="0" w:before="60"/>
      </w:pPr>
      <w:r>
        <w:t xml:space="preserve"/>
      </w:r>
    </w:p>
    <w:p>
      <w:r>
        <w:br w:type="page"/>
      </w:r>
    </w:p>
    <w:p>
      <w:pPr>
        <w:pStyle w:val="Heading1"/>
        <w:spacing w:after="140" w:before="320"/>
      </w:pPr>
      <w:r>
        <w:rPr>
          <w:rFonts w:ascii="Arial" w:cs="Arial" w:eastAsia="Arial" w:hAnsi="Arial"/>
          <w:b/>
          <w:bCs/>
          <w:color w:val="0D1117"/>
          <w:sz w:val="28"/>
          <w:szCs w:val="28"/>
        </w:rPr>
        <w:t xml:space="preserve">8.  AI Lifecycle Governance (ISO 42001 &amp; NIST RMF)</w:t>
      </w:r>
    </w:p>
    <w:p>
      <w:pPr>
        <w:spacing w:after="80" w:before="80"/>
        <w:jc w:val="left"/>
      </w:pPr>
      <w:r>
        <w:rPr>
          <w:rFonts w:ascii="Arial" w:cs="Arial" w:eastAsia="Arial" w:hAnsi="Arial"/>
          <w:b w:val="false"/>
          <w:bCs w:val="false"/>
          <w:i w:val="false"/>
          <w:iCs w:val="false"/>
          <w:color w:val="0D1117"/>
          <w:sz w:val="20"/>
          <w:szCs w:val="20"/>
        </w:rPr>
        <w:t xml:space="preserve">All AI systems must follow a structured lifecycle governance process:</w:t>
      </w:r>
    </w:p>
    <w:p>
      <w:pPr>
        <w:spacing w:after="0" w:before="40"/>
      </w:pPr>
      <w:r>
        <w:t xml:space="preserve"/>
      </w:r>
    </w:p>
    <w:p>
      <w:pPr>
        <w:spacing w:after="80" w:before="200"/>
      </w:pPr>
      <w:r>
        <w:rPr>
          <w:rFonts w:ascii="Arial" w:cs="Arial" w:eastAsia="Arial" w:hAnsi="Arial"/>
          <w:b/>
          <w:bCs/>
          <w:color w:val="E8521A"/>
          <w:sz w:val="22"/>
          <w:szCs w:val="22"/>
        </w:rPr>
        <w:t xml:space="preserve">8.1 </w:t>
      </w:r>
      <w:r>
        <w:rPr>
          <w:rFonts w:ascii="Arial" w:cs="Arial" w:eastAsia="Arial" w:hAnsi="Arial"/>
          <w:b/>
          <w:bCs/>
          <w:color w:val="0D1117"/>
          <w:sz w:val="22"/>
          <w:szCs w:val="22"/>
        </w:rPr>
        <w:t xml:space="preserve">Design &amp; Development</w:t>
      </w:r>
    </w:p>
    <w:p>
      <w:pPr>
        <w:spacing w:after="80" w:before="80"/>
        <w:jc w:val="left"/>
      </w:pPr>
      <w:r>
        <w:rPr>
          <w:rFonts w:ascii="Arial" w:cs="Arial" w:eastAsia="Arial" w:hAnsi="Arial"/>
          <w:b w:val="false"/>
          <w:bCs w:val="false"/>
          <w:i w:val="false"/>
          <w:iCs w:val="false"/>
          <w:color w:val="0D1117"/>
          <w:sz w:val="20"/>
          <w:szCs w:val="20"/>
        </w:rPr>
        <w:t xml:space="preserve">Define the AI system's purpose, intended use, known risks, and target user group. Validate the quality, legality, and representativeness of all training or input data.</w:t>
      </w:r>
    </w:p>
    <w:p>
      <w:pPr>
        <w:spacing w:after="80" w:before="200"/>
      </w:pPr>
      <w:r>
        <w:rPr>
          <w:rFonts w:ascii="Arial" w:cs="Arial" w:eastAsia="Arial" w:hAnsi="Arial"/>
          <w:b/>
          <w:bCs/>
          <w:color w:val="E8521A"/>
          <w:sz w:val="22"/>
          <w:szCs w:val="22"/>
        </w:rPr>
        <w:t xml:space="preserve">8.2 </w:t>
      </w:r>
      <w:r>
        <w:rPr>
          <w:rFonts w:ascii="Arial" w:cs="Arial" w:eastAsia="Arial" w:hAnsi="Arial"/>
          <w:b/>
          <w:bCs/>
          <w:color w:val="0D1117"/>
          <w:sz w:val="22"/>
          <w:szCs w:val="22"/>
        </w:rPr>
        <w:t xml:space="preserve">Testing &amp; Validation</w:t>
      </w:r>
    </w:p>
    <w:p>
      <w:pPr>
        <w:spacing w:after="80" w:before="80"/>
        <w:jc w:val="left"/>
      </w:pPr>
      <w:r>
        <w:rPr>
          <w:rFonts w:ascii="Arial" w:cs="Arial" w:eastAsia="Arial" w:hAnsi="Arial"/>
          <w:b w:val="false"/>
          <w:bCs w:val="false"/>
          <w:i w:val="false"/>
          <w:iCs w:val="false"/>
          <w:color w:val="0D1117"/>
          <w:sz w:val="20"/>
          <w:szCs w:val="20"/>
        </w:rPr>
        <w:t xml:space="preserve">Before deployment, assess the AI system across:</w:t>
      </w:r>
    </w:p>
    <w:p>
      <w:pPr>
        <w:pStyle w:val="ListParagraph"/>
        <w:numPr>
          <w:ilvl w:val="0"/>
          <w:numId w:val="2"/>
        </w:numPr>
        <w:spacing w:after="40" w:before="40"/>
      </w:pPr>
      <w:r>
        <w:rPr>
          <w:rFonts w:ascii="Arial" w:cs="Arial" w:eastAsia="Arial" w:hAnsi="Arial"/>
          <w:color w:val="0D1117"/>
          <w:sz w:val="20"/>
          <w:szCs w:val="20"/>
        </w:rPr>
        <w:t xml:space="preserve">Accuracy and reliability</w:t>
      </w:r>
    </w:p>
    <w:p>
      <w:pPr>
        <w:pStyle w:val="ListParagraph"/>
        <w:numPr>
          <w:ilvl w:val="0"/>
          <w:numId w:val="2"/>
        </w:numPr>
        <w:spacing w:after="40" w:before="40"/>
      </w:pPr>
      <w:r>
        <w:rPr>
          <w:rFonts w:ascii="Arial" w:cs="Arial" w:eastAsia="Arial" w:hAnsi="Arial"/>
          <w:color w:val="0D1117"/>
          <w:sz w:val="20"/>
          <w:szCs w:val="20"/>
        </w:rPr>
        <w:t xml:space="preserve">Bias and fairness across demographic groups</w:t>
      </w:r>
    </w:p>
    <w:p>
      <w:pPr>
        <w:pStyle w:val="ListParagraph"/>
        <w:numPr>
          <w:ilvl w:val="0"/>
          <w:numId w:val="2"/>
        </w:numPr>
        <w:spacing w:after="40" w:before="40"/>
      </w:pPr>
      <w:r>
        <w:rPr>
          <w:rFonts w:ascii="Arial" w:cs="Arial" w:eastAsia="Arial" w:hAnsi="Arial"/>
          <w:color w:val="0D1117"/>
          <w:sz w:val="20"/>
          <w:szCs w:val="20"/>
        </w:rPr>
        <w:t xml:space="preserve">Robustness and adversarial edge cases</w:t>
      </w:r>
    </w:p>
    <w:p>
      <w:pPr>
        <w:spacing w:after="80" w:before="80"/>
        <w:jc w:val="left"/>
      </w:pPr>
      <w:r>
        <w:rPr>
          <w:rFonts w:ascii="Arial" w:cs="Arial" w:eastAsia="Arial" w:hAnsi="Arial"/>
          <w:b w:val="false"/>
          <w:bCs w:val="false"/>
          <w:i w:val="false"/>
          <w:iCs w:val="false"/>
          <w:color w:val="0D1117"/>
          <w:sz w:val="20"/>
          <w:szCs w:val="20"/>
        </w:rPr>
        <w:t xml:space="preserve">Document all known limitations and failure modes.</w:t>
      </w:r>
    </w:p>
    <w:p>
      <w:pPr>
        <w:spacing w:after="80" w:before="200"/>
      </w:pPr>
      <w:r>
        <w:rPr>
          <w:rFonts w:ascii="Arial" w:cs="Arial" w:eastAsia="Arial" w:hAnsi="Arial"/>
          <w:b/>
          <w:bCs/>
          <w:color w:val="E8521A"/>
          <w:sz w:val="22"/>
          <w:szCs w:val="22"/>
        </w:rPr>
        <w:t xml:space="preserve">8.3 </w:t>
      </w:r>
      <w:r>
        <w:rPr>
          <w:rFonts w:ascii="Arial" w:cs="Arial" w:eastAsia="Arial" w:hAnsi="Arial"/>
          <w:b/>
          <w:bCs/>
          <w:color w:val="0D1117"/>
          <w:sz w:val="22"/>
          <w:szCs w:val="22"/>
        </w:rPr>
        <w:t xml:space="preserve">Deployment</w:t>
      </w:r>
    </w:p>
    <w:p>
      <w:pPr>
        <w:spacing w:after="80" w:before="80"/>
        <w:jc w:val="left"/>
      </w:pPr>
      <w:r>
        <w:rPr>
          <w:rFonts w:ascii="Arial" w:cs="Arial" w:eastAsia="Arial" w:hAnsi="Arial"/>
          <w:b w:val="false"/>
          <w:bCs w:val="false"/>
          <w:i w:val="false"/>
          <w:iCs w:val="false"/>
          <w:color w:val="0D1117"/>
          <w:sz w:val="20"/>
          <w:szCs w:val="20"/>
        </w:rPr>
        <w:t xml:space="preserve">Prior to go-live, ensure:</w:t>
      </w:r>
    </w:p>
    <w:p>
      <w:pPr>
        <w:pStyle w:val="ListParagraph"/>
        <w:numPr>
          <w:ilvl w:val="0"/>
          <w:numId w:val="2"/>
        </w:numPr>
        <w:spacing w:after="40" w:before="40"/>
      </w:pPr>
      <w:r>
        <w:rPr>
          <w:rFonts w:ascii="Arial" w:cs="Arial" w:eastAsia="Arial" w:hAnsi="Arial"/>
          <w:color w:val="0D1117"/>
          <w:sz w:val="20"/>
          <w:szCs w:val="20"/>
        </w:rPr>
        <w:t xml:space="preserve">Human oversight mechanisms are in place and documented</w:t>
      </w:r>
    </w:p>
    <w:p>
      <w:pPr>
        <w:pStyle w:val="ListParagraph"/>
        <w:numPr>
          <w:ilvl w:val="0"/>
          <w:numId w:val="2"/>
        </w:numPr>
        <w:spacing w:after="40" w:before="40"/>
      </w:pPr>
      <w:r>
        <w:rPr>
          <w:rFonts w:ascii="Arial" w:cs="Arial" w:eastAsia="Arial" w:hAnsi="Arial"/>
          <w:color w:val="0D1117"/>
          <w:sz w:val="20"/>
          <w:szCs w:val="20"/>
        </w:rPr>
        <w:t xml:space="preserve">Monitoring controls are configured and active</w:t>
      </w:r>
    </w:p>
    <w:p>
      <w:pPr>
        <w:pStyle w:val="ListParagraph"/>
        <w:numPr>
          <w:ilvl w:val="0"/>
          <w:numId w:val="2"/>
        </w:numPr>
        <w:spacing w:after="40" w:before="40"/>
      </w:pPr>
      <w:r>
        <w:rPr>
          <w:rFonts w:ascii="Arial" w:cs="Arial" w:eastAsia="Arial" w:hAnsi="Arial"/>
          <w:color w:val="0D1117"/>
          <w:sz w:val="20"/>
          <w:szCs w:val="20"/>
        </w:rPr>
        <w:t xml:space="preserve">Users are informed of AI involvement where transparency is required</w:t>
      </w:r>
    </w:p>
    <w:p>
      <w:pPr>
        <w:spacing w:after="80" w:before="200"/>
      </w:pPr>
      <w:r>
        <w:rPr>
          <w:rFonts w:ascii="Arial" w:cs="Arial" w:eastAsia="Arial" w:hAnsi="Arial"/>
          <w:b/>
          <w:bCs/>
          <w:color w:val="E8521A"/>
          <w:sz w:val="22"/>
          <w:szCs w:val="22"/>
        </w:rPr>
        <w:t xml:space="preserve">8.4 </w:t>
      </w:r>
      <w:r>
        <w:rPr>
          <w:rFonts w:ascii="Arial" w:cs="Arial" w:eastAsia="Arial" w:hAnsi="Arial"/>
          <w:b/>
          <w:bCs/>
          <w:color w:val="0D1117"/>
          <w:sz w:val="22"/>
          <w:szCs w:val="22"/>
        </w:rPr>
        <w:t xml:space="preserve">Monitoring &amp; Review</w:t>
      </w:r>
    </w:p>
    <w:p>
      <w:pPr>
        <w:spacing w:after="80" w:before="80"/>
        <w:jc w:val="left"/>
      </w:pPr>
      <w:r>
        <w:rPr>
          <w:rFonts w:ascii="Arial" w:cs="Arial" w:eastAsia="Arial" w:hAnsi="Arial"/>
          <w:b w:val="false"/>
          <w:bCs w:val="false"/>
          <w:i w:val="false"/>
          <w:iCs w:val="false"/>
          <w:color w:val="0D1117"/>
          <w:sz w:val="20"/>
          <w:szCs w:val="20"/>
        </w:rPr>
        <w:t xml:space="preserve">Continuously track AI system performance and output quality. Monitor for model drift, unexpected behaviour, or emergent risks. Reassess risk classification and controls on a periodic basis (minimum annually).</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9.  Documentation &amp; Auditability</w:t>
      </w:r>
    </w:p>
    <w:p>
      <w:pPr>
        <w:spacing w:after="80" w:before="80"/>
        <w:jc w:val="left"/>
      </w:pPr>
      <w:r>
        <w:rPr>
          <w:rFonts w:ascii="Arial" w:cs="Arial" w:eastAsia="Arial" w:hAnsi="Arial"/>
          <w:b w:val="false"/>
          <w:bCs w:val="false"/>
          <w:i w:val="false"/>
          <w:iCs w:val="false"/>
          <w:color w:val="0D1117"/>
          <w:sz w:val="20"/>
          <w:szCs w:val="20"/>
        </w:rPr>
        <w:t xml:space="preserve">For all high-risk or client-facing AI systems, the following must be maintained:</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Model documentation (purpose, architecture, data sources, intended use)</w:t>
      </w:r>
    </w:p>
    <w:p>
      <w:pPr>
        <w:pStyle w:val="ListParagraph"/>
        <w:numPr>
          <w:ilvl w:val="0"/>
          <w:numId w:val="2"/>
        </w:numPr>
        <w:spacing w:after="40" w:before="40"/>
      </w:pPr>
      <w:r>
        <w:rPr>
          <w:rFonts w:ascii="Arial" w:cs="Arial" w:eastAsia="Arial" w:hAnsi="Arial"/>
          <w:color w:val="0D1117"/>
          <w:sz w:val="20"/>
          <w:szCs w:val="20"/>
        </w:rPr>
        <w:t xml:space="preserve">Training and validation data inventory</w:t>
      </w:r>
    </w:p>
    <w:p>
      <w:pPr>
        <w:pStyle w:val="ListParagraph"/>
        <w:numPr>
          <w:ilvl w:val="0"/>
          <w:numId w:val="2"/>
        </w:numPr>
        <w:spacing w:after="40" w:before="40"/>
      </w:pPr>
      <w:r>
        <w:rPr>
          <w:rFonts w:ascii="Arial" w:cs="Arial" w:eastAsia="Arial" w:hAnsi="Arial"/>
          <w:color w:val="0D1117"/>
          <w:sz w:val="20"/>
          <w:szCs w:val="20"/>
        </w:rPr>
        <w:t xml:space="preserve">AI Risk Assessments and AI Impact Assessments (AIA)</w:t>
      </w:r>
    </w:p>
    <w:p>
      <w:pPr>
        <w:pStyle w:val="ListParagraph"/>
        <w:numPr>
          <w:ilvl w:val="0"/>
          <w:numId w:val="2"/>
        </w:numPr>
        <w:spacing w:after="40" w:before="40"/>
      </w:pPr>
      <w:r>
        <w:rPr>
          <w:rFonts w:ascii="Arial" w:cs="Arial" w:eastAsia="Arial" w:hAnsi="Arial"/>
          <w:color w:val="0D1117"/>
          <w:sz w:val="20"/>
          <w:szCs w:val="20"/>
        </w:rPr>
        <w:t xml:space="preserve">Human oversight and review records</w:t>
      </w:r>
    </w:p>
    <w:p>
      <w:pPr>
        <w:pStyle w:val="ListParagraph"/>
        <w:numPr>
          <w:ilvl w:val="0"/>
          <w:numId w:val="2"/>
        </w:numPr>
        <w:spacing w:after="40" w:before="40"/>
      </w:pPr>
      <w:r>
        <w:rPr>
          <w:rFonts w:ascii="Arial" w:cs="Arial" w:eastAsia="Arial" w:hAnsi="Arial"/>
          <w:color w:val="0D1117"/>
          <w:sz w:val="20"/>
          <w:szCs w:val="20"/>
        </w:rPr>
        <w:t xml:space="preserve">Change logs and version control records</w:t>
      </w:r>
    </w:p>
    <w:p>
      <w:pPr>
        <w:spacing w:after="0" w:before="40"/>
      </w:pPr>
      <w:r>
        <w:t xml:space="preserve"/>
      </w:r>
    </w:p>
    <w:p>
      <w:pPr>
        <w:spacing w:after="80" w:before="80"/>
        <w:jc w:val="left"/>
      </w:pPr>
      <w:r>
        <w:rPr>
          <w:rFonts w:ascii="Arial" w:cs="Arial" w:eastAsia="Arial" w:hAnsi="Arial"/>
          <w:b w:val="false"/>
          <w:bCs w:val="false"/>
          <w:i w:val="false"/>
          <w:iCs w:val="false"/>
          <w:color w:val="0D1117"/>
          <w:sz w:val="20"/>
          <w:szCs w:val="20"/>
        </w:rPr>
        <w:t xml:space="preserve">All AI systems used in client engagements must be auditable and fully traceable. The signed OpenAI DPA and POPIA Information Officer registration records must be retained and available for regulatory audit.</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10.  Intellectual Property</w:t>
      </w:r>
    </w:p>
    <w:p>
      <w:pPr>
        <w:pStyle w:val="ListParagraph"/>
        <w:numPr>
          <w:ilvl w:val="0"/>
          <w:numId w:val="2"/>
        </w:numPr>
        <w:spacing w:after="40" w:before="40"/>
      </w:pPr>
      <w:r>
        <w:rPr>
          <w:rFonts w:ascii="Arial" w:cs="Arial" w:eastAsia="Arial" w:hAnsi="Arial"/>
          <w:color w:val="0D1117"/>
          <w:sz w:val="20"/>
          <w:szCs w:val="20"/>
        </w:rPr>
        <w:t xml:space="preserve">AI-generated work produced during employment belongs to Ralph Analytics</w:t>
      </w:r>
    </w:p>
    <w:p>
      <w:pPr>
        <w:pStyle w:val="ListParagraph"/>
        <w:numPr>
          <w:ilvl w:val="0"/>
          <w:numId w:val="2"/>
        </w:numPr>
        <w:spacing w:after="40" w:before="40"/>
      </w:pPr>
      <w:r>
        <w:rPr>
          <w:rFonts w:ascii="Arial" w:cs="Arial" w:eastAsia="Arial" w:hAnsi="Arial"/>
          <w:color w:val="0D1117"/>
          <w:sz w:val="20"/>
          <w:szCs w:val="20"/>
        </w:rPr>
        <w:t xml:space="preserve">Verify tool licensing before using AI-generated content for commercial purposes</w:t>
      </w:r>
    </w:p>
    <w:p>
      <w:pPr>
        <w:pStyle w:val="ListParagraph"/>
        <w:numPr>
          <w:ilvl w:val="0"/>
          <w:numId w:val="2"/>
        </w:numPr>
        <w:spacing w:after="40" w:before="40"/>
      </w:pPr>
      <w:r>
        <w:rPr>
          <w:rFonts w:ascii="Arial" w:cs="Arial" w:eastAsia="Arial" w:hAnsi="Arial"/>
          <w:color w:val="0D1117"/>
          <w:sz w:val="20"/>
          <w:szCs w:val="20"/>
        </w:rPr>
        <w:t xml:space="preserve">Do not use AI tools in a manner that infringes third-party copyright or intellectual property</w:t>
      </w:r>
    </w:p>
    <w:p>
      <w:pPr>
        <w:pStyle w:val="ListParagraph"/>
        <w:numPr>
          <w:ilvl w:val="0"/>
          <w:numId w:val="2"/>
        </w:numPr>
        <w:spacing w:after="40" w:before="40"/>
      </w:pPr>
      <w:r>
        <w:rPr>
          <w:rFonts w:ascii="Arial" w:cs="Arial" w:eastAsia="Arial" w:hAnsi="Arial"/>
          <w:color w:val="0D1117"/>
          <w:sz w:val="20"/>
          <w:szCs w:val="20"/>
        </w:rPr>
        <w:t xml:space="preserve">AI-generated content must be reviewed and validated before submission — it does not constitute independent original work</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11.  Training &amp; Awareness</w:t>
      </w:r>
    </w:p>
    <w:p>
      <w:pPr>
        <w:spacing w:after="80" w:before="80"/>
        <w:jc w:val="left"/>
      </w:pPr>
      <w:r>
        <w:rPr>
          <w:rFonts w:ascii="Arial" w:cs="Arial" w:eastAsia="Arial" w:hAnsi="Arial"/>
          <w:b w:val="false"/>
          <w:bCs w:val="false"/>
          <w:i w:val="false"/>
          <w:iCs w:val="false"/>
          <w:color w:val="0D1117"/>
          <w:sz w:val="20"/>
          <w:szCs w:val="20"/>
        </w:rPr>
        <w:t xml:space="preserve">All personnel subject to this policy must:</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Complete mandatory AI governance and data protection training within 30 days of onboarding</w:t>
      </w:r>
    </w:p>
    <w:p>
      <w:pPr>
        <w:pStyle w:val="ListParagraph"/>
        <w:numPr>
          <w:ilvl w:val="0"/>
          <w:numId w:val="2"/>
        </w:numPr>
        <w:spacing w:after="40" w:before="40"/>
      </w:pPr>
      <w:r>
        <w:rPr>
          <w:rFonts w:ascii="Arial" w:cs="Arial" w:eastAsia="Arial" w:hAnsi="Arial"/>
          <w:color w:val="0D1117"/>
          <w:sz w:val="20"/>
          <w:szCs w:val="20"/>
        </w:rPr>
        <w:t xml:space="preserve">Understand risks, obligations, and escalation paths relevant to their role</w:t>
      </w:r>
    </w:p>
    <w:p>
      <w:pPr>
        <w:pStyle w:val="ListParagraph"/>
        <w:numPr>
          <w:ilvl w:val="0"/>
          <w:numId w:val="2"/>
        </w:numPr>
        <w:spacing w:after="40" w:before="40"/>
      </w:pPr>
      <w:r>
        <w:rPr>
          <w:rFonts w:ascii="Arial" w:cs="Arial" w:eastAsia="Arial" w:hAnsi="Arial"/>
          <w:color w:val="0D1117"/>
          <w:sz w:val="20"/>
          <w:szCs w:val="20"/>
        </w:rPr>
        <w:t xml:space="preserve">Refresh training annually or when this policy is materially updated</w:t>
      </w:r>
    </w:p>
    <w:p>
      <w:pPr>
        <w:pStyle w:val="ListParagraph"/>
        <w:numPr>
          <w:ilvl w:val="0"/>
          <w:numId w:val="2"/>
        </w:numPr>
        <w:spacing w:after="40" w:before="40"/>
      </w:pPr>
      <w:r>
        <w:rPr>
          <w:rFonts w:ascii="Arial" w:cs="Arial" w:eastAsia="Arial" w:hAnsi="Arial"/>
          <w:color w:val="0D1117"/>
          <w:sz w:val="20"/>
          <w:szCs w:val="20"/>
        </w:rPr>
        <w:t xml:space="preserve">Escalate all uncertain or potentially high-risk AI use cases to the Data/AI Lead</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12.  Incident Management</w:t>
      </w:r>
    </w:p>
    <w:p>
      <w:pPr>
        <w:spacing w:after="80" w:before="80"/>
        <w:jc w:val="left"/>
      </w:pPr>
      <w:r>
        <w:rPr>
          <w:rFonts w:ascii="Arial" w:cs="Arial" w:eastAsia="Arial" w:hAnsi="Arial"/>
          <w:b w:val="false"/>
          <w:bCs w:val="false"/>
          <w:i w:val="false"/>
          <w:iCs w:val="false"/>
          <w:color w:val="0D1117"/>
          <w:sz w:val="20"/>
          <w:szCs w:val="20"/>
        </w:rPr>
        <w:t xml:space="preserve">The following must be immediately reported to the Data/AI Lead, Information Officer, and Managing Director:</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Data leaks or breaches involving AI-processed personal or client data</w:t>
      </w:r>
    </w:p>
    <w:p>
      <w:pPr>
        <w:pStyle w:val="ListParagraph"/>
        <w:numPr>
          <w:ilvl w:val="0"/>
          <w:numId w:val="2"/>
        </w:numPr>
        <w:spacing w:after="40" w:before="40"/>
      </w:pPr>
      <w:r>
        <w:rPr>
          <w:rFonts w:ascii="Arial" w:cs="Arial" w:eastAsia="Arial" w:hAnsi="Arial"/>
          <w:color w:val="0D1117"/>
          <w:sz w:val="20"/>
          <w:szCs w:val="20"/>
        </w:rPr>
        <w:t xml:space="preserve">Harmful, biased, inaccurate, or discriminatory AI outputs used in client work</w:t>
      </w:r>
    </w:p>
    <w:p>
      <w:pPr>
        <w:pStyle w:val="ListParagraph"/>
        <w:numPr>
          <w:ilvl w:val="0"/>
          <w:numId w:val="2"/>
        </w:numPr>
        <w:spacing w:after="40" w:before="40"/>
      </w:pPr>
      <w:r>
        <w:rPr>
          <w:rFonts w:ascii="Arial" w:cs="Arial" w:eastAsia="Arial" w:hAnsi="Arial"/>
          <w:color w:val="0D1117"/>
          <w:sz w:val="20"/>
          <w:szCs w:val="20"/>
        </w:rPr>
        <w:t xml:space="preserve">Unauthorised AI usage or tool deployment</w:t>
      </w:r>
    </w:p>
    <w:p>
      <w:pPr>
        <w:pStyle w:val="ListParagraph"/>
        <w:numPr>
          <w:ilvl w:val="0"/>
          <w:numId w:val="2"/>
        </w:numPr>
        <w:spacing w:after="40" w:before="40"/>
      </w:pPr>
      <w:r>
        <w:rPr>
          <w:rFonts w:ascii="Arial" w:cs="Arial" w:eastAsia="Arial" w:hAnsi="Arial"/>
          <w:color w:val="0D1117"/>
          <w:sz w:val="20"/>
          <w:szCs w:val="20"/>
        </w:rPr>
        <w:t xml:space="preserve">Any AI system behaviour that is unexpected, unexplainable, or potentially harmful</w:t>
      </w:r>
    </w:p>
    <w:p>
      <w:pPr>
        <w:spacing w:after="0" w:before="40"/>
      </w:pPr>
      <w:r>
        <w:t xml:space="preserve"/>
      </w:r>
    </w:p>
    <w:p>
      <w:pPr>
        <w:spacing w:after="80" w:before="80"/>
        <w:jc w:val="left"/>
      </w:pPr>
      <w:r>
        <w:rPr>
          <w:rFonts w:ascii="Arial" w:cs="Arial" w:eastAsia="Arial" w:hAnsi="Arial"/>
          <w:b w:val="false"/>
          <w:bCs w:val="false"/>
          <w:i w:val="false"/>
          <w:iCs w:val="false"/>
          <w:color w:val="0D1117"/>
          <w:sz w:val="20"/>
          <w:szCs w:val="20"/>
        </w:rPr>
        <w:t xml:space="preserve">All incidents are investigated and managed in accordance with POPIA Section 22 and GDPR Article 33 breach notification protocols. Incidents are logged in the AI Incident Register on the Ralph Analytics platform.</w:t>
      </w:r>
    </w:p>
    <w:p>
      <w:pPr>
        <w:spacing w:after="0" w:before="60"/>
      </w:pPr>
      <w:r>
        <w:t xml:space="preserve"/>
      </w:r>
    </w:p>
    <w:p>
      <w:r>
        <w:br w:type="page"/>
      </w:r>
    </w:p>
    <w:p>
      <w:pPr>
        <w:pStyle w:val="Heading1"/>
        <w:spacing w:after="140" w:before="320"/>
      </w:pPr>
      <w:r>
        <w:rPr>
          <w:rFonts w:ascii="Arial" w:cs="Arial" w:eastAsia="Arial" w:hAnsi="Arial"/>
          <w:b/>
          <w:bCs/>
          <w:color w:val="0D1117"/>
          <w:sz w:val="28"/>
          <w:szCs w:val="28"/>
        </w:rPr>
        <w:t xml:space="preserve">13.  Governance &amp; Roles (ISO 42001 Alignment)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2D3147" w:sz="6"/>
              <w:left w:val="single" w:color="2D3147" w:sz="6"/>
              <w:bottom w:val="single" w:color="2D3147" w:sz="6"/>
              <w:right w:val="single" w:color="2D3147" w:sz="6"/>
            </w:tcBorders>
            <w:shd w:fill="2D3147"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5160"/>
            <w:tcBorders>
              <w:top w:val="single" w:color="2D3147" w:sz="6"/>
              <w:left w:val="single" w:color="2D3147" w:sz="6"/>
              <w:bottom w:val="single" w:color="2D3147" w:sz="6"/>
              <w:right w:val="single" w:color="2D3147" w:sz="6"/>
            </w:tcBorders>
            <w:shd w:fill="2D3147"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Responsibilities</w:t>
            </w:r>
          </w:p>
        </w:tc>
        <w:tc>
          <w:tcPr>
            <w:tcW w:type="dxa" w:w="2000"/>
            <w:tcBorders>
              <w:top w:val="single" w:color="2D3147" w:sz="6"/>
              <w:left w:val="single" w:color="2D3147" w:sz="6"/>
              <w:bottom w:val="single" w:color="2D3147" w:sz="6"/>
              <w:right w:val="single" w:color="2D3147" w:sz="6"/>
            </w:tcBorders>
            <w:shd w:fill="2D3147"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Accountability Level</w:t>
            </w:r>
          </w:p>
        </w:tc>
      </w:tr>
      <w:tr>
        <w:tc>
          <w:tcPr>
            <w:tcW w:type="dxa" w:w="22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Managing Director</w:t>
            </w:r>
          </w:p>
        </w:tc>
        <w:tc>
          <w:tcPr>
            <w:tcW w:type="dxa" w:w="5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Strategic oversight, policy approval, final accountability for AI governance</w:t>
            </w:r>
          </w:p>
        </w:tc>
        <w:tc>
          <w:tcPr>
            <w:tcW w:type="dxa" w:w="20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Executive</w:t>
            </w:r>
          </w:p>
        </w:tc>
      </w:tr>
      <w:tr>
        <w:tc>
          <w:tcPr>
            <w:tcW w:type="dxa" w:w="22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Data / AI Lead</w:t>
            </w:r>
          </w:p>
        </w:tc>
        <w:tc>
          <w:tcPr>
            <w:tcW w:type="dxa" w:w="5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Day-to-day risk governance, model oversight, tool approval, incident management, training coordination</w:t>
            </w:r>
          </w:p>
        </w:tc>
        <w:tc>
          <w:tcPr>
            <w:tcW w:type="dxa" w:w="20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Operational</w:t>
            </w:r>
          </w:p>
        </w:tc>
      </w:tr>
      <w:tr>
        <w:tc>
          <w:tcPr>
            <w:tcW w:type="dxa" w:w="22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Information Officer (POPIA)</w:t>
            </w:r>
          </w:p>
        </w:tc>
        <w:tc>
          <w:tcPr>
            <w:tcW w:type="dxa" w:w="5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Registered with the Information Regulator of South Africa. Responsible for POPIA compliance and data subject rights</w:t>
            </w:r>
          </w:p>
        </w:tc>
        <w:tc>
          <w:tcPr>
            <w:tcW w:type="dxa" w:w="20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Compliance</w:t>
            </w:r>
          </w:p>
        </w:tc>
      </w:tr>
      <w:tr>
        <w:tc>
          <w:tcPr>
            <w:tcW w:type="dxa" w:w="22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All Employees &amp; Contractors</w:t>
            </w:r>
          </w:p>
        </w:tc>
        <w:tc>
          <w:tcPr>
            <w:tcW w:type="dxa" w:w="5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Responsible use of AI tools, compliance with this policy, escalation of high-risk or uncertain use cases</w:t>
            </w:r>
          </w:p>
        </w:tc>
        <w:tc>
          <w:tcPr>
            <w:tcW w:type="dxa" w:w="20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Individual</w:t>
            </w:r>
          </w:p>
        </w:tc>
      </w:tr>
    </w:tbl>
    <w:p>
      <w:pPr>
        <w:spacing w:after="0" w:before="60"/>
      </w:pPr>
      <w:r>
        <w:t xml:space="preserve"/>
      </w:r>
    </w:p>
    <w:p>
      <w:pPr>
        <w:pStyle w:val="Heading1"/>
        <w:spacing w:after="140" w:before="320"/>
      </w:pPr>
      <w:r>
        <w:rPr>
          <w:rFonts w:ascii="Arial" w:cs="Arial" w:eastAsia="Arial" w:hAnsi="Arial"/>
          <w:b/>
          <w:bCs/>
          <w:color w:val="0D1117"/>
          <w:sz w:val="28"/>
          <w:szCs w:val="28"/>
        </w:rPr>
        <w:t xml:space="preserve">14.  Enforcement</w:t>
      </w:r>
    </w:p>
    <w:p>
      <w:pPr>
        <w:spacing w:after="80" w:before="80"/>
        <w:jc w:val="left"/>
      </w:pPr>
      <w:r>
        <w:rPr>
          <w:rFonts w:ascii="Arial" w:cs="Arial" w:eastAsia="Arial" w:hAnsi="Arial"/>
          <w:b w:val="false"/>
          <w:bCs w:val="false"/>
          <w:i w:val="false"/>
          <w:iCs w:val="false"/>
          <w:color w:val="0D1117"/>
          <w:sz w:val="20"/>
          <w:szCs w:val="20"/>
        </w:rPr>
        <w:t xml:space="preserve">Non-compliance with this policy may result in:</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Formal disciplinary proceedings</w:t>
      </w:r>
    </w:p>
    <w:p>
      <w:pPr>
        <w:pStyle w:val="ListParagraph"/>
        <w:numPr>
          <w:ilvl w:val="0"/>
          <w:numId w:val="2"/>
        </w:numPr>
        <w:spacing w:after="40" w:before="40"/>
      </w:pPr>
      <w:r>
        <w:rPr>
          <w:rFonts w:ascii="Arial" w:cs="Arial" w:eastAsia="Arial" w:hAnsi="Arial"/>
          <w:color w:val="0D1117"/>
          <w:sz w:val="20"/>
          <w:szCs w:val="20"/>
        </w:rPr>
        <w:t xml:space="preserve">Civil or criminal legal consequences under POPIA, GDPR, or applicable South African law</w:t>
      </w:r>
    </w:p>
    <w:p>
      <w:pPr>
        <w:pStyle w:val="ListParagraph"/>
        <w:numPr>
          <w:ilvl w:val="0"/>
          <w:numId w:val="2"/>
        </w:numPr>
        <w:spacing w:after="40" w:before="40"/>
      </w:pPr>
      <w:r>
        <w:rPr>
          <w:rFonts w:ascii="Arial" w:cs="Arial" w:eastAsia="Arial" w:hAnsi="Arial"/>
          <w:color w:val="0D1117"/>
          <w:sz w:val="20"/>
          <w:szCs w:val="20"/>
        </w:rPr>
        <w:t xml:space="preserve">Termination of employment or contract</w:t>
      </w:r>
    </w:p>
    <w:p>
      <w:pPr>
        <w:pStyle w:val="ListParagraph"/>
        <w:numPr>
          <w:ilvl w:val="0"/>
          <w:numId w:val="2"/>
        </w:numPr>
        <w:spacing w:after="40" w:before="40"/>
      </w:pPr>
      <w:r>
        <w:rPr>
          <w:rFonts w:ascii="Arial" w:cs="Arial" w:eastAsia="Arial" w:hAnsi="Arial"/>
          <w:color w:val="0D1117"/>
          <w:sz w:val="20"/>
          <w:szCs w:val="20"/>
        </w:rPr>
        <w:t xml:space="preserve">Reporting to relevant regulatory authorities where legally required</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15.  Policy Review</w:t>
      </w:r>
    </w:p>
    <w:p>
      <w:pPr>
        <w:spacing w:after="80" w:before="80"/>
        <w:jc w:val="left"/>
      </w:pPr>
      <w:r>
        <w:rPr>
          <w:rFonts w:ascii="Arial" w:cs="Arial" w:eastAsia="Arial" w:hAnsi="Arial"/>
          <w:b w:val="false"/>
          <w:bCs w:val="false"/>
          <w:i w:val="false"/>
          <w:iCs w:val="false"/>
          <w:color w:val="0D1117"/>
          <w:sz w:val="20"/>
          <w:szCs w:val="20"/>
        </w:rPr>
        <w:t xml:space="preserve">This policy will be reviewed annually, or as required, to remain aligned with:</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EU AI Act implementation updates and enforcement guidance</w:t>
      </w:r>
    </w:p>
    <w:p>
      <w:pPr>
        <w:pStyle w:val="ListParagraph"/>
        <w:numPr>
          <w:ilvl w:val="0"/>
          <w:numId w:val="2"/>
        </w:numPr>
        <w:spacing w:after="40" w:before="40"/>
      </w:pPr>
      <w:r>
        <w:rPr>
          <w:rFonts w:ascii="Arial" w:cs="Arial" w:eastAsia="Arial" w:hAnsi="Arial"/>
          <w:color w:val="0D1117"/>
          <w:sz w:val="20"/>
          <w:szCs w:val="20"/>
        </w:rPr>
        <w:t xml:space="preserve">South African National AI Policy developments</w:t>
      </w:r>
    </w:p>
    <w:p>
      <w:pPr>
        <w:pStyle w:val="ListParagraph"/>
        <w:numPr>
          <w:ilvl w:val="0"/>
          <w:numId w:val="2"/>
        </w:numPr>
        <w:spacing w:after="40" w:before="40"/>
      </w:pPr>
      <w:r>
        <w:rPr>
          <w:rFonts w:ascii="Arial" w:cs="Arial" w:eastAsia="Arial" w:hAnsi="Arial"/>
          <w:color w:val="0D1117"/>
          <w:sz w:val="20"/>
          <w:szCs w:val="20"/>
        </w:rPr>
        <w:t xml:space="preserve">Updates to ISO/IEC 42001 and NIST AI RMF</w:t>
      </w:r>
    </w:p>
    <w:p>
      <w:pPr>
        <w:pStyle w:val="ListParagraph"/>
        <w:numPr>
          <w:ilvl w:val="0"/>
          <w:numId w:val="2"/>
        </w:numPr>
        <w:spacing w:after="40" w:before="40"/>
      </w:pPr>
      <w:r>
        <w:rPr>
          <w:rFonts w:ascii="Arial" w:cs="Arial" w:eastAsia="Arial" w:hAnsi="Arial"/>
          <w:color w:val="0D1117"/>
          <w:sz w:val="20"/>
          <w:szCs w:val="20"/>
        </w:rPr>
        <w:t xml:space="preserve">Evolving industry standards and best practices</w:t>
      </w:r>
    </w:p>
    <w:p>
      <w:pPr>
        <w:spacing w:after="0" w:before="40"/>
      </w:pPr>
      <w:r>
        <w:t xml:space="preserve"/>
      </w:r>
    </w:p>
    <w:p>
      <w:pPr>
        <w:spacing w:after="80" w:before="80"/>
        <w:jc w:val="left"/>
      </w:pPr>
      <w:r>
        <w:rPr>
          <w:rFonts w:ascii="Arial" w:cs="Arial" w:eastAsia="Arial" w:hAnsi="Arial"/>
          <w:b w:val="false"/>
          <w:bCs w:val="false"/>
          <w:i w:val="false"/>
          <w:iCs w:val="false"/>
          <w:color w:val="0D1117"/>
          <w:sz w:val="20"/>
          <w:szCs w:val="20"/>
        </w:rPr>
        <w:t xml:space="preserve">The Information Officer and Data/AI Lead are jointly responsible for initiating and coordinating policy reviews.</w:t>
      </w:r>
    </w:p>
    <w:p>
      <w:pPr>
        <w:spacing w:after="0" w:before="60"/>
      </w:pPr>
      <w:r>
        <w:t xml:space="preserve"/>
      </w:r>
    </w:p>
    <w:p>
      <w:pPr>
        <w:pBdr>
          <w:bottom w:val="single" w:color="E2E4E9" w:sz="4"/>
        </w:pBdr>
        <w:spacing w:after="120" w:before="120"/>
      </w:pPr>
      <w:r>
        <w:t xml:space="preserve"/>
      </w:r>
    </w:p>
    <w:p>
      <w:pPr>
        <w:pStyle w:val="Heading1"/>
        <w:spacing w:after="140" w:before="320"/>
      </w:pPr>
      <w:r>
        <w:rPr>
          <w:rFonts w:ascii="Arial" w:cs="Arial" w:eastAsia="Arial" w:hAnsi="Arial"/>
          <w:b/>
          <w:bCs/>
          <w:color w:val="0D1117"/>
          <w:sz w:val="28"/>
          <w:szCs w:val="28"/>
        </w:rPr>
        <w:t xml:space="preserve">Quick Reference Card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66534" w:sz="6"/>
              <w:left w:val="single" w:color="166534" w:sz="6"/>
              <w:bottom w:val="single" w:color="166534" w:sz="6"/>
              <w:right w:val="single" w:color="166534" w:sz="6"/>
            </w:tcBorders>
            <w:shd w:fill="166534" w:val="clear"/>
            <w:tcMar>
              <w:top w:type="dxa" w:w="100"/>
              <w:left w:type="dxa" w:w="140"/>
              <w:bottom w:type="dxa" w:w="100"/>
              <w:right w:type="dxa" w:w="140"/>
            </w:tcMar>
            <w:vAlign w:val="center"/>
          </w:tcPr>
          <w:p>
            <w:r>
              <w:rPr>
                <w:rFonts w:ascii="Arial" w:cs="Arial" w:eastAsia="Arial" w:hAnsi="Arial"/>
                <w:b/>
                <w:bCs/>
                <w:color w:val="FFFFFF"/>
                <w:sz w:val="20"/>
                <w:szCs w:val="20"/>
              </w:rPr>
              <w:t xml:space="preserve">✅  DO</w:t>
            </w:r>
          </w:p>
        </w:tc>
        <w:tc>
          <w:tcPr>
            <w:tcW w:type="dxa" w:w="4680"/>
            <w:tcBorders>
              <w:top w:val="single" w:color="991B1B" w:sz="6"/>
              <w:left w:val="single" w:color="991B1B" w:sz="6"/>
              <w:bottom w:val="single" w:color="991B1B" w:sz="6"/>
              <w:right w:val="single" w:color="991B1B" w:sz="6"/>
            </w:tcBorders>
            <w:shd w:fill="991B1B" w:val="clear"/>
            <w:tcMar>
              <w:top w:type="dxa" w:w="100"/>
              <w:left w:type="dxa" w:w="140"/>
              <w:bottom w:type="dxa" w:w="100"/>
              <w:right w:type="dxa" w:w="140"/>
            </w:tcMar>
            <w:vAlign w:val="center"/>
          </w:tcPr>
          <w:p>
            <w:r>
              <w:rPr>
                <w:rFonts w:ascii="Arial" w:cs="Arial" w:eastAsia="Arial" w:hAnsi="Arial"/>
                <w:b/>
                <w:bCs/>
                <w:color w:val="FFFFFF"/>
                <w:sz w:val="20"/>
                <w:szCs w:val="20"/>
              </w:rPr>
              <w:t xml:space="preserve">❌  DON'T</w:t>
            </w:r>
          </w:p>
        </w:tc>
      </w:tr>
      <w:tr>
        <w:tc>
          <w:tcPr>
            <w:tcW w:type="dxa" w:w="4680"/>
            <w:tcBorders>
              <w:top w:val="single" w:color="BBF7D0" w:sz="6"/>
              <w:left w:val="single" w:color="BBF7D0" w:sz="6"/>
              <w:bottom w:val="single" w:color="BBF7D0" w:sz="6"/>
              <w:right w:val="single" w:color="BBF7D0" w:sz="6"/>
            </w:tcBorders>
            <w:shd w:fill="EAFAF1" w:val="clear"/>
            <w:tcMar>
              <w:top w:type="dxa" w:w="100"/>
              <w:left w:type="dxa" w:w="140"/>
              <w:bottom w:type="dxa" w:w="100"/>
              <w:right w:type="dxa" w:w="140"/>
            </w:tcMar>
            <w:vAlign w:val="center"/>
          </w:tcPr>
          <w:p>
            <w:pPr>
              <w:spacing w:after="60" w:before="60"/>
            </w:pPr>
            <w:r>
              <w:rPr>
                <w:rFonts w:ascii="Arial" w:cs="Arial" w:eastAsia="Arial" w:hAnsi="Arial"/>
                <w:color w:val="166534"/>
                <w:sz w:val="19"/>
                <w:szCs w:val="19"/>
              </w:rPr>
              <w:t xml:space="preserve">✓  Use only approved AI tools</w:t>
            </w:r>
          </w:p>
        </w:tc>
        <w:tc>
          <w:tcPr>
            <w:tcW w:type="dxa" w:w="4680"/>
            <w:tcBorders>
              <w:top w:val="single" w:color="FECACA" w:sz="6"/>
              <w:left w:val="single" w:color="FECACA" w:sz="6"/>
              <w:bottom w:val="single" w:color="FECACA" w:sz="6"/>
              <w:right w:val="single" w:color="FECACA" w:sz="6"/>
            </w:tcBorders>
            <w:shd w:fill="FDEDED" w:val="clear"/>
            <w:tcMar>
              <w:top w:type="dxa" w:w="100"/>
              <w:left w:type="dxa" w:w="140"/>
              <w:bottom w:type="dxa" w:w="100"/>
              <w:right w:type="dxa" w:w="140"/>
            </w:tcMar>
            <w:vAlign w:val="center"/>
          </w:tcPr>
          <w:p>
            <w:pPr>
              <w:spacing w:after="60" w:before="60"/>
            </w:pPr>
            <w:r>
              <w:rPr>
                <w:rFonts w:ascii="Arial" w:cs="Arial" w:eastAsia="Arial" w:hAnsi="Arial"/>
                <w:color w:val="991B1B"/>
                <w:sz w:val="19"/>
                <w:szCs w:val="19"/>
              </w:rPr>
              <w:t xml:space="preserve">✗  Upload sensitive or client data to unapproved platforms</w:t>
            </w:r>
          </w:p>
        </w:tc>
      </w:tr>
      <w:tr>
        <w:tc>
          <w:tcPr>
            <w:tcW w:type="dxa" w:w="4680"/>
            <w:tcBorders>
              <w:top w:val="single" w:color="BBF7D0" w:sz="6"/>
              <w:left w:val="single" w:color="BBF7D0" w:sz="6"/>
              <w:bottom w:val="single" w:color="BBF7D0" w:sz="6"/>
              <w:right w:val="single" w:color="BBF7D0" w:sz="6"/>
            </w:tcBorders>
            <w:shd w:fill="EAFAF1" w:val="clear"/>
            <w:tcMar>
              <w:top w:type="dxa" w:w="100"/>
              <w:left w:type="dxa" w:w="140"/>
              <w:bottom w:type="dxa" w:w="100"/>
              <w:right w:type="dxa" w:w="140"/>
            </w:tcMar>
            <w:vAlign w:val="center"/>
          </w:tcPr>
          <w:p>
            <w:pPr>
              <w:spacing w:after="60" w:before="60"/>
            </w:pPr>
            <w:r>
              <w:rPr>
                <w:rFonts w:ascii="Arial" w:cs="Arial" w:eastAsia="Arial" w:hAnsi="Arial"/>
                <w:color w:val="166534"/>
                <w:sz w:val="19"/>
                <w:szCs w:val="19"/>
              </w:rPr>
              <w:t xml:space="preserve">✓  Validate and review all AI outputs</w:t>
            </w:r>
          </w:p>
        </w:tc>
        <w:tc>
          <w:tcPr>
            <w:tcW w:type="dxa" w:w="4680"/>
            <w:tcBorders>
              <w:top w:val="single" w:color="FECACA" w:sz="6"/>
              <w:left w:val="single" w:color="FECACA" w:sz="6"/>
              <w:bottom w:val="single" w:color="FECACA" w:sz="6"/>
              <w:right w:val="single" w:color="FECACA" w:sz="6"/>
            </w:tcBorders>
            <w:shd w:fill="FDEDED" w:val="clear"/>
            <w:tcMar>
              <w:top w:type="dxa" w:w="100"/>
              <w:left w:type="dxa" w:w="140"/>
              <w:bottom w:type="dxa" w:w="100"/>
              <w:right w:type="dxa" w:w="140"/>
            </w:tcMar>
            <w:vAlign w:val="center"/>
          </w:tcPr>
          <w:p>
            <w:pPr>
              <w:spacing w:after="60" w:before="60"/>
            </w:pPr>
            <w:r>
              <w:rPr>
                <w:rFonts w:ascii="Arial" w:cs="Arial" w:eastAsia="Arial" w:hAnsi="Arial"/>
                <w:color w:val="991B1B"/>
                <w:sz w:val="19"/>
                <w:szCs w:val="19"/>
              </w:rPr>
              <w:t xml:space="preserve">✗  Use AI outputs without human review</w:t>
            </w:r>
          </w:p>
        </w:tc>
      </w:tr>
      <w:tr>
        <w:tc>
          <w:tcPr>
            <w:tcW w:type="dxa" w:w="4680"/>
            <w:tcBorders>
              <w:top w:val="single" w:color="BBF7D0" w:sz="6"/>
              <w:left w:val="single" w:color="BBF7D0" w:sz="6"/>
              <w:bottom w:val="single" w:color="BBF7D0" w:sz="6"/>
              <w:right w:val="single" w:color="BBF7D0" w:sz="6"/>
            </w:tcBorders>
            <w:shd w:fill="EAFAF1" w:val="clear"/>
            <w:tcMar>
              <w:top w:type="dxa" w:w="100"/>
              <w:left w:type="dxa" w:w="140"/>
              <w:bottom w:type="dxa" w:w="100"/>
              <w:right w:type="dxa" w:w="140"/>
            </w:tcMar>
            <w:vAlign w:val="center"/>
          </w:tcPr>
          <w:p>
            <w:pPr>
              <w:spacing w:after="60" w:before="60"/>
            </w:pPr>
            <w:r>
              <w:rPr>
                <w:rFonts w:ascii="Arial" w:cs="Arial" w:eastAsia="Arial" w:hAnsi="Arial"/>
                <w:color w:val="166534"/>
                <w:sz w:val="19"/>
                <w:szCs w:val="19"/>
              </w:rPr>
              <w:t xml:space="preserve">✓  Protect personal and client data</w:t>
            </w:r>
          </w:p>
        </w:tc>
        <w:tc>
          <w:tcPr>
            <w:tcW w:type="dxa" w:w="4680"/>
            <w:tcBorders>
              <w:top w:val="single" w:color="FECACA" w:sz="6"/>
              <w:left w:val="single" w:color="FECACA" w:sz="6"/>
              <w:bottom w:val="single" w:color="FECACA" w:sz="6"/>
              <w:right w:val="single" w:color="FECACA" w:sz="6"/>
            </w:tcBorders>
            <w:shd w:fill="FDEDED" w:val="clear"/>
            <w:tcMar>
              <w:top w:type="dxa" w:w="100"/>
              <w:left w:type="dxa" w:w="140"/>
              <w:bottom w:type="dxa" w:w="100"/>
              <w:right w:type="dxa" w:w="140"/>
            </w:tcMar>
            <w:vAlign w:val="center"/>
          </w:tcPr>
          <w:p>
            <w:pPr>
              <w:spacing w:after="60" w:before="60"/>
            </w:pPr>
            <w:r>
              <w:rPr>
                <w:rFonts w:ascii="Arial" w:cs="Arial" w:eastAsia="Arial" w:hAnsi="Arial"/>
                <w:color w:val="991B1B"/>
                <w:sz w:val="19"/>
                <w:szCs w:val="19"/>
              </w:rPr>
              <w:t xml:space="preserve">✗  Deploy unassessed medium/high risk AI systems</w:t>
            </w:r>
          </w:p>
        </w:tc>
      </w:tr>
      <w:tr>
        <w:tc>
          <w:tcPr>
            <w:tcW w:type="dxa" w:w="4680"/>
            <w:tcBorders>
              <w:top w:val="single" w:color="BBF7D0" w:sz="6"/>
              <w:left w:val="single" w:color="BBF7D0" w:sz="6"/>
              <w:bottom w:val="single" w:color="BBF7D0" w:sz="6"/>
              <w:right w:val="single" w:color="BBF7D0" w:sz="6"/>
            </w:tcBorders>
            <w:shd w:fill="EAFAF1" w:val="clear"/>
            <w:tcMar>
              <w:top w:type="dxa" w:w="100"/>
              <w:left w:type="dxa" w:w="140"/>
              <w:bottom w:type="dxa" w:w="100"/>
              <w:right w:type="dxa" w:w="140"/>
            </w:tcMar>
            <w:vAlign w:val="center"/>
          </w:tcPr>
          <w:p>
            <w:pPr>
              <w:spacing w:after="60" w:before="60"/>
            </w:pPr>
            <w:r>
              <w:rPr>
                <w:rFonts w:ascii="Arial" w:cs="Arial" w:eastAsia="Arial" w:hAnsi="Arial"/>
                <w:color w:val="166534"/>
                <w:sz w:val="19"/>
                <w:szCs w:val="19"/>
              </w:rPr>
              <w:t xml:space="preserve">✓  Document high-risk AI systems</w:t>
            </w:r>
          </w:p>
        </w:tc>
        <w:tc>
          <w:tcPr>
            <w:tcW w:type="dxa" w:w="4680"/>
            <w:tcBorders>
              <w:top w:val="single" w:color="FECACA" w:sz="6"/>
              <w:left w:val="single" w:color="FECACA" w:sz="6"/>
              <w:bottom w:val="single" w:color="FECACA" w:sz="6"/>
              <w:right w:val="single" w:color="FECACA" w:sz="6"/>
            </w:tcBorders>
            <w:shd w:fill="FDEDED" w:val="clear"/>
            <w:tcMar>
              <w:top w:type="dxa" w:w="100"/>
              <w:left w:type="dxa" w:w="140"/>
              <w:bottom w:type="dxa" w:w="100"/>
              <w:right w:type="dxa" w:w="140"/>
            </w:tcMar>
            <w:vAlign w:val="center"/>
          </w:tcPr>
          <w:p>
            <w:pPr>
              <w:spacing w:after="60" w:before="60"/>
            </w:pPr>
            <w:r>
              <w:rPr>
                <w:rFonts w:ascii="Arial" w:cs="Arial" w:eastAsia="Arial" w:hAnsi="Arial"/>
                <w:color w:val="991B1B"/>
                <w:sz w:val="19"/>
                <w:szCs w:val="19"/>
              </w:rPr>
              <w:t xml:space="preserve">✗  Ignore compliance obligations or escalation requirements</w:t>
            </w:r>
          </w:p>
        </w:tc>
      </w:tr>
      <w:tr>
        <w:tc>
          <w:tcPr>
            <w:tcW w:type="dxa" w:w="4680"/>
            <w:tcBorders>
              <w:top w:val="single" w:color="BBF7D0" w:sz="6"/>
              <w:left w:val="single" w:color="BBF7D0" w:sz="6"/>
              <w:bottom w:val="single" w:color="BBF7D0" w:sz="6"/>
              <w:right w:val="single" w:color="BBF7D0" w:sz="6"/>
            </w:tcBorders>
            <w:shd w:fill="EAFAF1" w:val="clear"/>
            <w:tcMar>
              <w:top w:type="dxa" w:w="100"/>
              <w:left w:type="dxa" w:w="140"/>
              <w:bottom w:type="dxa" w:w="100"/>
              <w:right w:type="dxa" w:w="140"/>
            </w:tcMar>
            <w:vAlign w:val="center"/>
          </w:tcPr>
          <w:p>
            <w:pPr>
              <w:spacing w:after="60" w:before="60"/>
            </w:pPr>
            <w:r>
              <w:rPr>
                <w:rFonts w:ascii="Arial" w:cs="Arial" w:eastAsia="Arial" w:hAnsi="Arial"/>
                <w:color w:val="166534"/>
                <w:sz w:val="19"/>
                <w:szCs w:val="19"/>
              </w:rPr>
              <w:t xml:space="preserve">✓  Disclose AI usage in client deliverables where required</w:t>
            </w:r>
          </w:p>
        </w:tc>
        <w:tc>
          <w:tcPr>
            <w:tcW w:type="dxa" w:w="4680"/>
            <w:tcBorders>
              <w:top w:val="single" w:color="FECACA" w:sz="6"/>
              <w:left w:val="single" w:color="FECACA" w:sz="6"/>
              <w:bottom w:val="single" w:color="FECACA" w:sz="6"/>
              <w:right w:val="single" w:color="FECACA" w:sz="6"/>
            </w:tcBorders>
            <w:shd w:fill="FDEDED" w:val="clear"/>
            <w:tcMar>
              <w:top w:type="dxa" w:w="100"/>
              <w:left w:type="dxa" w:w="140"/>
              <w:bottom w:type="dxa" w:w="100"/>
              <w:right w:type="dxa" w:w="140"/>
            </w:tcMar>
            <w:vAlign w:val="center"/>
          </w:tcPr>
          <w:p>
            <w:pPr>
              <w:spacing w:after="60" w:before="60"/>
            </w:pPr>
            <w:r>
              <w:rPr>
                <w:rFonts w:ascii="Arial" w:cs="Arial" w:eastAsia="Arial" w:hAnsi="Arial"/>
                <w:color w:val="991B1B"/>
                <w:sz w:val="19"/>
                <w:szCs w:val="19"/>
              </w:rPr>
              <w:t xml:space="preserve">✗  Represent AI outputs as human-produced without disclosure</w:t>
            </w:r>
          </w:p>
        </w:tc>
      </w:tr>
      <w:tr>
        <w:tc>
          <w:tcPr>
            <w:tcW w:type="dxa" w:w="4680"/>
            <w:tcBorders>
              <w:top w:val="single" w:color="BBF7D0" w:sz="6"/>
              <w:left w:val="single" w:color="BBF7D0" w:sz="6"/>
              <w:bottom w:val="single" w:color="BBF7D0" w:sz="6"/>
              <w:right w:val="single" w:color="BBF7D0" w:sz="6"/>
            </w:tcBorders>
            <w:shd w:fill="EAFAF1" w:val="clear"/>
            <w:tcMar>
              <w:top w:type="dxa" w:w="100"/>
              <w:left w:type="dxa" w:w="140"/>
              <w:bottom w:type="dxa" w:w="100"/>
              <w:right w:type="dxa" w:w="140"/>
            </w:tcMar>
            <w:vAlign w:val="center"/>
          </w:tcPr>
          <w:p>
            <w:pPr>
              <w:spacing w:after="60" w:before="60"/>
            </w:pPr>
            <w:r>
              <w:rPr>
                <w:rFonts w:ascii="Arial" w:cs="Arial" w:eastAsia="Arial" w:hAnsi="Arial"/>
                <w:color w:val="166534"/>
                <w:sz w:val="19"/>
                <w:szCs w:val="19"/>
              </w:rPr>
              <w:t xml:space="preserve">✓  Escalate uncertain or high-risk use cases immediately</w:t>
            </w:r>
          </w:p>
        </w:tc>
        <w:tc>
          <w:tcPr>
            <w:tcW w:type="dxa" w:w="4680"/>
            <w:tcBorders>
              <w:top w:val="single" w:color="FECACA" w:sz="6"/>
              <w:left w:val="single" w:color="FECACA" w:sz="6"/>
              <w:bottom w:val="single" w:color="FECACA" w:sz="6"/>
              <w:right w:val="single" w:color="FECACA" w:sz="6"/>
            </w:tcBorders>
            <w:shd w:fill="FDEDED" w:val="clear"/>
            <w:tcMar>
              <w:top w:type="dxa" w:w="100"/>
              <w:left w:type="dxa" w:w="140"/>
              <w:bottom w:type="dxa" w:w="100"/>
              <w:right w:type="dxa" w:w="140"/>
            </w:tcMar>
            <w:vAlign w:val="center"/>
          </w:tcPr>
          <w:p>
            <w:pPr>
              <w:spacing w:after="60" w:before="60"/>
            </w:pPr>
            <w:r>
              <w:rPr>
                <w:rFonts w:ascii="Arial" w:cs="Arial" w:eastAsia="Arial" w:hAnsi="Arial"/>
                <w:color w:val="991B1B"/>
                <w:sz w:val="19"/>
                <w:szCs w:val="19"/>
              </w:rPr>
              <w:t xml:space="preserve"/>
            </w:r>
          </w:p>
        </w:tc>
      </w:tr>
    </w:tbl>
    <w:p>
      <w:pPr>
        <w:spacing w:after="0" w:before="80"/>
      </w:pPr>
      <w:r>
        <w:t xml:space="preserve"/>
      </w:r>
    </w:p>
    <w:p>
      <w:r>
        <w:br w:type="page"/>
      </w:r>
    </w:p>
    <w:p>
      <w:pPr>
        <w:pStyle w:val="Heading1"/>
        <w:spacing w:after="140" w:before="320"/>
      </w:pPr>
      <w:r>
        <w:rPr>
          <w:rFonts w:ascii="Arial" w:cs="Arial" w:eastAsia="Arial" w:hAnsi="Arial"/>
          <w:b/>
          <w:bCs/>
          <w:color w:val="0D1117"/>
          <w:sz w:val="28"/>
          <w:szCs w:val="28"/>
        </w:rPr>
        <w:t xml:space="preserve">Acknowledgement &amp; Acceptance</w:t>
      </w:r>
    </w:p>
    <w:p>
      <w:pPr>
        <w:spacing w:after="80" w:before="80"/>
        <w:jc w:val="left"/>
      </w:pPr>
      <w:r>
        <w:rPr>
          <w:rFonts w:ascii="Arial" w:cs="Arial" w:eastAsia="Arial" w:hAnsi="Arial"/>
          <w:b w:val="false"/>
          <w:bCs w:val="false"/>
          <w:i w:val="false"/>
          <w:iCs w:val="false"/>
          <w:color w:val="0D1117"/>
          <w:sz w:val="20"/>
          <w:szCs w:val="20"/>
        </w:rPr>
        <w:t xml:space="preserve">By signing below, I confirm that I have read, understood, and agree to comply with this AI Governance &amp; Usage Policy:</w:t>
      </w:r>
    </w:p>
    <w:p>
      <w:pPr>
        <w:spacing w:after="0" w:before="120"/>
      </w:pPr>
      <w:r>
        <w:t xml:space="preserve"/>
      </w:r>
    </w:p>
    <w:p>
      <w:pPr>
        <w:spacing w:after="100" w:before="100"/>
      </w:pPr>
      <w:r>
        <w:rPr>
          <w:rFonts w:ascii="Arial" w:cs="Arial" w:eastAsia="Arial" w:hAnsi="Arial"/>
          <w:b/>
          <w:bCs/>
          <w:color w:val="0D1117"/>
          <w:sz w:val="20"/>
          <w:szCs w:val="20"/>
        </w:rPr>
        <w:t xml:space="preserve">Name: </w:t>
      </w:r>
      <w:r>
        <w:rPr>
          <w:rFonts w:ascii="Arial" w:cs="Arial" w:eastAsia="Arial" w:hAnsi="Arial"/>
          <w:color w:val="666677"/>
          <w:sz w:val="20"/>
          <w:szCs w:val="20"/>
        </w:rPr>
        <w:t xml:space="preserve">_____________________________________________</w:t>
      </w:r>
    </w:p>
    <w:p>
      <w:pPr>
        <w:spacing w:after="100" w:before="100"/>
      </w:pPr>
      <w:r>
        <w:rPr>
          <w:rFonts w:ascii="Arial" w:cs="Arial" w:eastAsia="Arial" w:hAnsi="Arial"/>
          <w:b/>
          <w:bCs/>
          <w:color w:val="0D1117"/>
          <w:sz w:val="20"/>
          <w:szCs w:val="20"/>
        </w:rPr>
        <w:t xml:space="preserve">Role: </w:t>
      </w:r>
      <w:r>
        <w:rPr>
          <w:rFonts w:ascii="Arial" w:cs="Arial" w:eastAsia="Arial" w:hAnsi="Arial"/>
          <w:color w:val="666677"/>
          <w:sz w:val="20"/>
          <w:szCs w:val="20"/>
        </w:rPr>
        <w:t xml:space="preserve">_____________________________________________</w:t>
      </w:r>
    </w:p>
    <w:p>
      <w:pPr>
        <w:spacing w:after="100" w:before="100"/>
      </w:pPr>
      <w:r>
        <w:rPr>
          <w:rFonts w:ascii="Arial" w:cs="Arial" w:eastAsia="Arial" w:hAnsi="Arial"/>
          <w:b/>
          <w:bCs/>
          <w:color w:val="0D1117"/>
          <w:sz w:val="20"/>
          <w:szCs w:val="20"/>
        </w:rPr>
        <w:t xml:space="preserve">Signature: </w:t>
      </w:r>
      <w:r>
        <w:rPr>
          <w:rFonts w:ascii="Arial" w:cs="Arial" w:eastAsia="Arial" w:hAnsi="Arial"/>
          <w:color w:val="666677"/>
          <w:sz w:val="20"/>
          <w:szCs w:val="20"/>
        </w:rPr>
        <w:t xml:space="preserve">_____________________________________________</w:t>
      </w:r>
    </w:p>
    <w:p>
      <w:pPr>
        <w:spacing w:after="100" w:before="100"/>
      </w:pPr>
      <w:r>
        <w:rPr>
          <w:rFonts w:ascii="Arial" w:cs="Arial" w:eastAsia="Arial" w:hAnsi="Arial"/>
          <w:b/>
          <w:bCs/>
          <w:color w:val="0D1117"/>
          <w:sz w:val="20"/>
          <w:szCs w:val="20"/>
        </w:rPr>
        <w:t xml:space="preserve">Date: </w:t>
      </w:r>
      <w:r>
        <w:rPr>
          <w:rFonts w:ascii="Arial" w:cs="Arial" w:eastAsia="Arial" w:hAnsi="Arial"/>
          <w:color w:val="666677"/>
          <w:sz w:val="20"/>
          <w:szCs w:val="20"/>
        </w:rPr>
        <w:t xml:space="preserve">_____________________________________________</w:t>
      </w:r>
    </w:p>
    <w:p>
      <w:pPr>
        <w:spacing w:after="0" w:before="120"/>
      </w:pPr>
      <w:r>
        <w:t xml:space="preserve"/>
      </w:r>
    </w:p>
    <w:p>
      <w:pPr>
        <w:pBdr>
          <w:bottom w:val="single" w:color="E2E4E9" w:sz="4"/>
        </w:pBdr>
        <w:spacing w:after="120" w:before="120"/>
      </w:pPr>
      <w:r>
        <w:t xml:space="preserve"/>
      </w:r>
    </w:p>
    <w:p>
      <w:pPr>
        <w:spacing w:after="0" w:before="40"/>
      </w:pPr>
      <w:r>
        <w:t xml:space="preserve"/>
      </w:r>
    </w:p>
    <w:p>
      <w:pPr>
        <w:spacing w:after="80" w:before="80"/>
        <w:jc w:val="left"/>
      </w:pPr>
      <w:r>
        <w:rPr>
          <w:rFonts w:ascii="Arial" w:cs="Arial" w:eastAsia="Arial" w:hAnsi="Arial"/>
          <w:b w:val="false"/>
          <w:bCs w:val="false"/>
          <w:i/>
          <w:iCs/>
          <w:color w:val="666677"/>
          <w:sz w:val="20"/>
          <w:szCs w:val="20"/>
        </w:rPr>
        <w:t xml:space="preserve">Policy approved by: Managing Director — Ralph Analytics</w:t>
      </w:r>
    </w:p>
    <w:p>
      <w:pPr>
        <w:spacing w:after="80" w:before="80"/>
        <w:jc w:val="left"/>
      </w:pPr>
      <w:r>
        <w:rPr>
          <w:rFonts w:ascii="Arial" w:cs="Arial" w:eastAsia="Arial" w:hAnsi="Arial"/>
          <w:b w:val="false"/>
          <w:bCs w:val="false"/>
          <w:i/>
          <w:iCs/>
          <w:color w:val="666677"/>
          <w:sz w:val="20"/>
          <w:szCs w:val="20"/>
        </w:rPr>
        <w:t xml:space="preserve">Document reference: RA-POL-AI-001 | Version 1.1 | Effective 26 June 2026 | © 2026 Ralph Analytics (Pty) Ltd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E2E4E9" w:sz="6"/>
            <w:left w:val="none" w:color="FFFFFF" w:sz="0"/>
            <w:bottom w:val="none" w:color="FFFFFF" w:sz="0"/>
            <w:right w:val="none" w:color="FFFFFF" w:sz="0"/>
          </w:tcBorders>
          <w:tcMar>
            <w:top w:type="dxa" w:w="100"/>
            <w:left w:type="dxa" w:w="140"/>
            <w:bottom w:type="dxa" w:w="100"/>
            <w:right w:type="dxa" w:w="140"/>
          </w:tcMar>
          <w:vAlign w:val="center"/>
        </w:tcPr>
        <w:p>
          <w:r>
            <w:rPr>
              <w:rFonts w:ascii="Arial" w:cs="Arial" w:eastAsia="Arial" w:hAnsi="Arial"/>
              <w:color w:val="666677"/>
              <w:sz w:val="16"/>
              <w:szCs w:val="16"/>
            </w:rPr>
            <w:t xml:space="preserve">© 2026 Ralph Analytics (Pty) Ltd. All rights reserved.</w:t>
          </w:r>
        </w:p>
      </w:tc>
      <w:tc>
        <w:tcPr>
          <w:tcW w:type="dxa" w:w="3360"/>
          <w:tcBorders>
            <w:top w:val="single" w:color="E2E4E9" w:sz="6"/>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color w:val="666677"/>
              <w:sz w:val="16"/>
              <w:szCs w:val="16"/>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E2E4E9" w:sz="6"/>
            <w:right w:val="none" w:color="FFFFFF" w:sz="0"/>
          </w:tcBorders>
          <w:tcMar>
            <w:top w:type="dxa" w:w="100"/>
            <w:left w:type="dxa" w:w="140"/>
            <w:bottom w:type="dxa" w:w="100"/>
            <w:right w:type="dxa" w:w="140"/>
          </w:tcMar>
          <w:vAlign w:val="center"/>
        </w:tcPr>
        <w:p>
          <w:r>
            <w:rPr>
              <w:rFonts w:ascii="Arial" w:cs="Arial" w:eastAsia="Arial" w:hAnsi="Arial"/>
              <w:color w:val="666677"/>
              <w:sz w:val="16"/>
              <w:szCs w:val="16"/>
            </w:rPr>
            <w:t xml:space="preserve">Ralph Analytics – AI Governance &amp; Usage Policy</w:t>
          </w:r>
        </w:p>
      </w:tc>
      <w:tc>
        <w:tcPr>
          <w:tcW w:type="dxa" w:w="3360"/>
          <w:tcBorders>
            <w:top w:val="none" w:color="FFFFFF" w:sz="0"/>
            <w:left w:val="none" w:color="FFFFFF" w:sz="0"/>
            <w:bottom w:val="single" w:color="E2E4E9" w:sz="6"/>
            <w:right w:val="none" w:color="FFFFFF" w:sz="0"/>
          </w:tcBorders>
          <w:tcMar>
            <w:top w:type="dxa" w:w="100"/>
            <w:left w:type="dxa" w:w="140"/>
            <w:bottom w:type="dxa" w:w="100"/>
            <w:right w:type="dxa" w:w="140"/>
          </w:tcMar>
          <w:vAlign w:val="center"/>
        </w:tcPr>
        <w:p>
          <w:pPr>
            <w:jc w:val="right"/>
          </w:pPr>
          <w:r>
            <w:rPr>
              <w:rFonts w:ascii="Arial" w:cs="Arial" w:eastAsia="Arial" w:hAnsi="Arial"/>
              <w:color w:val="666677"/>
              <w:sz w:val="16"/>
              <w:szCs w:val="16"/>
            </w:rPr>
            <w:t xml:space="preserve">RA-POL-AI-001 | v1.1  |  </w:t>
          </w:r>
          <w:r>
            <w:rPr>
              <w:rFonts w:ascii="Arial" w:cs="Arial" w:eastAsia="Arial" w:hAnsi="Arial"/>
              <w:b/>
              <w:bCs/>
              <w:color w:val="E8521A"/>
              <w:sz w:val="16"/>
              <w:szCs w:val="16"/>
            </w:rPr>
            <w:t xml:space="preserve">INTERNAL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E852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D1117"/>
      <w:sz w:val="28"/>
      <w:szCs w:val="28"/>
    </w:rPr>
  </w:style>
  <w:style w:type="paragraph" w:styleId="Heading2">
    <w:name w:val="Heading 2"/>
    <w:basedOn w:val="Normal"/>
    <w:next w:val="Normal"/>
    <w:pPr>
      <w:spacing w:after="120" w:before="240"/>
      <w:outlineLvl w:val="1"/>
    </w:pPr>
    <w:rPr>
      <w:rFonts w:ascii="Arial" w:cs="Arial" w:eastAsia="Arial" w:hAnsi="Arial"/>
      <w:b/>
      <w:bCs/>
      <w:color w:val="0D11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Ralph Analytics – Internal AI Governance &amp; Usage Policy v1.1</dc:title>
  <dc:creator>Ralph Analytics</dc:creator>
  <cp:lastModifiedBy>Un-named</cp:lastModifiedBy>
  <cp:revision>1</cp:revision>
  <dcterms:created xsi:type="dcterms:W3CDTF">2026-06-26T07:12:04.660Z</dcterms:created>
  <dcterms:modified xsi:type="dcterms:W3CDTF">2026-06-26T07:12:04.661Z</dcterms:modified>
</cp:coreProperties>
</file>

<file path=docProps/custom.xml><?xml version="1.0" encoding="utf-8"?>
<Properties xmlns="http://schemas.openxmlformats.org/officeDocument/2006/custom-properties" xmlns:vt="http://schemas.openxmlformats.org/officeDocument/2006/docPropsVTypes"/>
</file>