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color w:val="E8521A"/>
          <w:sz w:val="24"/>
          <w:szCs w:val="24"/>
        </w:rPr>
        <w:t xml:space="preserve">RALPH ANALYTICS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0D1117"/>
          <w:sz w:val="44"/>
          <w:szCs w:val="44"/>
        </w:rPr>
        <w:t xml:space="preserve">Data Protection Impact Assessment</w:t>
      </w:r>
    </w:p>
    <w:p>
      <w:pPr>
        <w:spacing w:after="180" w:before="0"/>
        <w:jc w:val="center"/>
      </w:pPr>
      <w:r>
        <w:rPr>
          <w:rFonts w:ascii="Arial" w:cs="Arial" w:eastAsia="Arial" w:hAnsi="Arial"/>
          <w:color w:val="666677"/>
          <w:sz w:val="22"/>
          <w:szCs w:val="22"/>
        </w:rPr>
        <w:t xml:space="preserve">AI-Assisted Compliance Analytics and Client Reporting</w:t>
      </w:r>
    </w:p>
    <w:p>
      <w:pPr>
        <w:pBdr>
          <w:bottom w:val="single" w:color="E2E4E9" w:sz="4"/>
        </w:pBdr>
        <w:spacing w:after="120" w:before="120"/>
      </w:pPr>
      <w:r>
        <w:t xml:space="preserve"/>
      </w:r>
    </w:p>
    <w:p>
      <w:pPr>
        <w:spacing w:after="0" w:before="40"/>
      </w:pPr>
      <w:r>
        <w:t xml:space="preserve"/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920"/>
      </w:tblGrid>
      <w:tr>
        <w:tc>
          <w:tcPr>
            <w:tcW w:type="dxa" w:w="28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4F5F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Document Reference:</w:t>
            </w:r>
          </w:p>
        </w:tc>
        <w:tc>
          <w:tcPr>
            <w:tcW w:type="dxa" w:w="692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RA-DPIA-AI-001</w:t>
            </w:r>
          </w:p>
        </w:tc>
      </w:tr>
      <w:tr>
        <w:tc>
          <w:tcPr>
            <w:tcW w:type="dxa" w:w="28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4F5F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Version:</w:t>
            </w:r>
          </w:p>
        </w:tc>
        <w:tc>
          <w:tcPr>
            <w:tcW w:type="dxa" w:w="692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1.0 -- Initial</w:t>
            </w:r>
          </w:p>
        </w:tc>
      </w:tr>
      <w:tr>
        <w:tc>
          <w:tcPr>
            <w:tcW w:type="dxa" w:w="28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4F5F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Date:</w:t>
            </w:r>
          </w:p>
        </w:tc>
        <w:tc>
          <w:tcPr>
            <w:tcW w:type="dxa" w:w="692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26 June 2026</w:t>
            </w:r>
          </w:p>
        </w:tc>
      </w:tr>
      <w:tr>
        <w:tc>
          <w:tcPr>
            <w:tcW w:type="dxa" w:w="28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4F5F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Prepared by:</w:t>
            </w:r>
          </w:p>
        </w:tc>
        <w:tc>
          <w:tcPr>
            <w:tcW w:type="dxa" w:w="692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Data/AI Lead -- Ralph Analytics</w:t>
            </w:r>
          </w:p>
        </w:tc>
      </w:tr>
      <w:tr>
        <w:tc>
          <w:tcPr>
            <w:tcW w:type="dxa" w:w="28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4F5F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Reviewed by:</w:t>
            </w:r>
          </w:p>
        </w:tc>
        <w:tc>
          <w:tcPr>
            <w:tcW w:type="dxa" w:w="692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Managing Director</w:t>
            </w:r>
          </w:p>
        </w:tc>
      </w:tr>
      <w:tr>
        <w:tc>
          <w:tcPr>
            <w:tcW w:type="dxa" w:w="28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4F5F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GDPR basis:</w:t>
            </w:r>
          </w:p>
        </w:tc>
        <w:tc>
          <w:tcPr>
            <w:tcW w:type="dxa" w:w="692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Article 35 -- new technology processing likely to result in high risk</w:t>
            </w:r>
          </w:p>
        </w:tc>
      </w:tr>
      <w:tr>
        <w:tc>
          <w:tcPr>
            <w:tcW w:type="dxa" w:w="28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4F5F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POPIA basis:</w:t>
            </w:r>
          </w:p>
        </w:tc>
        <w:tc>
          <w:tcPr>
            <w:tcW w:type="dxa" w:w="692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Section 22 -- security safeguards and risk assessment</w:t>
            </w:r>
          </w:p>
        </w:tc>
      </w:tr>
      <w:tr>
        <w:tc>
          <w:tcPr>
            <w:tcW w:type="dxa" w:w="28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4F5F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EU AI Act basis:</w:t>
            </w:r>
          </w:p>
        </w:tc>
        <w:tc>
          <w:tcPr>
            <w:tcW w:type="dxa" w:w="692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Article 9 -- risk management for AI deployments</w:t>
            </w:r>
          </w:p>
        </w:tc>
      </w:tr>
      <w:tr>
        <w:tc>
          <w:tcPr>
            <w:tcW w:type="dxa" w:w="28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4F5F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Next review:</w:t>
            </w:r>
          </w:p>
        </w:tc>
        <w:tc>
          <w:tcPr>
            <w:tcW w:type="dxa" w:w="692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June 2027 (or if processing materially changes)</w:t>
            </w:r>
          </w:p>
        </w:tc>
      </w:tr>
      <w:tr>
        <w:tc>
          <w:tcPr>
            <w:tcW w:type="dxa" w:w="28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4F5F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Status:</w:t>
            </w:r>
          </w:p>
        </w:tc>
        <w:tc>
          <w:tcPr>
            <w:tcW w:type="dxa" w:w="692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0FDF4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16A34A"/>
                <w:sz w:val="19"/>
                <w:szCs w:val="19"/>
              </w:rPr>
              <w:t xml:space="preserve">APPROVED -- proceed with controls in Section 5</w:t>
            </w:r>
          </w:p>
        </w:tc>
      </w:tr>
    </w:tbl>
    <w:p>
      <w:r>
        <w:br w:type="pag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1.  Purpose and Overview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117"/>
          <w:sz w:val="20"/>
          <w:szCs w:val="20"/>
        </w:rPr>
        <w:t xml:space="preserve">This Data Protection Impact Assessment (DPIA) evaluates the privacy and data protection risks arising from Ralph Analytics' use of OpenAI GPT-4o via API in the delivery of compliance analytics, audit readiness, and M&amp;E reporting services to clients.</w:t>
      </w:r>
    </w:p>
    <w:p>
      <w:pPr>
        <w:spacing w:after="0" w:before="4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117"/>
          <w:sz w:val="20"/>
          <w:szCs w:val="20"/>
        </w:rPr>
        <w:t xml:space="preserve">This DPIA is required under: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GDPR Article 35 -- processing using new technologies likely to result in high risk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POPIA Section 22 -- responsible parties must process personal information lawfully and securely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EU AI Act Article 9 -- risk management obligations for AI deployments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RA-POL-AI-001 v1.1 -- mandatory DPIA for all AI-assisted client-facing services</w:t>
      </w:r>
    </w:p>
    <w:p>
      <w:pPr>
        <w:spacing w:after="0" w:before="60"/>
      </w:pPr>
      <w: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2.  Description of Processing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E8521A"/>
          <w:sz w:val="22"/>
          <w:szCs w:val="22"/>
        </w:rPr>
        <w:t xml:space="preserve">2.1  What we do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117"/>
          <w:sz w:val="20"/>
          <w:szCs w:val="20"/>
        </w:rPr>
        <w:t xml:space="preserve">Ralph Analytics uses OpenAI GPT-4o via the OpenAI API to assist with: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Compliance gap analysis -- reviewing client documents against regulatory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Audit narrative generation -- drafting findings summaries and corrective action recommendations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Risk scoring and classification -- categorising risks by severity and framework alignment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Report summarisation -- condensing audit data into executive-level outputs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Standards interpretation -- mapping client practices against ISO, ESG, SLCP, and M&amp;E frameworks</w:t>
      </w:r>
    </w:p>
    <w:p>
      <w:pPr>
        <w:spacing w:after="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E8521A"/>
          <w:sz w:val="22"/>
          <w:szCs w:val="22"/>
        </w:rPr>
        <w:t xml:space="preserve">2.2  What data enters the AI system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720"/>
      </w:tblGrid>
      <w:tr>
        <w:tc>
          <w:tcPr>
            <w:tcW w:type="dxa" w:w="2600"/>
            <w:tcBorders>
              <w:top w:val="single" w:color="1E2235" w:sz="6"/>
              <w:left w:val="single" w:color="1E2235" w:sz="6"/>
              <w:bottom w:val="single" w:color="1E2235" w:sz="6"/>
              <w:right w:val="single" w:color="1E2235" w:sz="6"/>
            </w:tcBorders>
            <w:shd w:fill="1E2235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Category</w:t>
            </w:r>
          </w:p>
        </w:tc>
        <w:tc>
          <w:tcPr>
            <w:tcW w:type="dxa" w:w="3400"/>
            <w:tcBorders>
              <w:top w:val="single" w:color="1E2235" w:sz="6"/>
              <w:left w:val="single" w:color="1E2235" w:sz="6"/>
              <w:bottom w:val="single" w:color="1E2235" w:sz="6"/>
              <w:right w:val="single" w:color="1E2235" w:sz="6"/>
            </w:tcBorders>
            <w:shd w:fill="1E2235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  <w:tc>
          <w:tcPr>
            <w:tcW w:type="dxa" w:w="3720"/>
            <w:tcBorders>
              <w:top w:val="single" w:color="1E2235" w:sz="6"/>
              <w:left w:val="single" w:color="1E2235" w:sz="6"/>
              <w:bottom w:val="single" w:color="1E2235" w:sz="6"/>
              <w:right w:val="single" w:color="1E2235" w:sz="6"/>
            </w:tcBorders>
            <w:shd w:fill="1E2235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Contains Personal Data?</w:t>
            </w:r>
          </w:p>
        </w:tc>
      </w:tr>
      <w:tr>
        <w:tc>
          <w:tcPr>
            <w:tcW w:type="dxa" w:w="26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Client audit documents</w:t>
            </w:r>
          </w:p>
        </w:tc>
        <w:tc>
          <w:tcPr>
            <w:tcW w:type="dxa" w:w="34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Policies, process records, audit checklists</w:t>
            </w:r>
          </w:p>
        </w:tc>
        <w:tc>
          <w:tcPr>
            <w:tcW w:type="dxa" w:w="372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FFBE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Sometimes -- may contain employee names or roles</w:t>
            </w:r>
          </w:p>
        </w:tc>
      </w:tr>
      <w:tr>
        <w:tc>
          <w:tcPr>
            <w:tcW w:type="dxa" w:w="26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4F5F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Compliance framework text</w:t>
            </w:r>
          </w:p>
        </w:tc>
        <w:tc>
          <w:tcPr>
            <w:tcW w:type="dxa" w:w="34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4F5F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ISO standards, ESG criteria, regulatory text</w:t>
            </w:r>
          </w:p>
        </w:tc>
        <w:tc>
          <w:tcPr>
            <w:tcW w:type="dxa" w:w="372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0FDF4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No -- public documents only</w:t>
            </w:r>
          </w:p>
        </w:tc>
      </w:tr>
      <w:tr>
        <w:tc>
          <w:tcPr>
            <w:tcW w:type="dxa" w:w="26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Client-submitted queries</w:t>
            </w:r>
          </w:p>
        </w:tc>
        <w:tc>
          <w:tcPr>
            <w:tcW w:type="dxa" w:w="34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Text describing a compliance scenario or finding</w:t>
            </w:r>
          </w:p>
        </w:tc>
        <w:tc>
          <w:tcPr>
            <w:tcW w:type="dxa" w:w="372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FFBE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Possibly -- if client includes names or details</w:t>
            </w:r>
          </w:p>
        </w:tc>
      </w:tr>
      <w:tr>
        <w:tc>
          <w:tcPr>
            <w:tcW w:type="dxa" w:w="26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4F5F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Structured risk data</w:t>
            </w:r>
          </w:p>
        </w:tc>
        <w:tc>
          <w:tcPr>
            <w:tcW w:type="dxa" w:w="34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4F5F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Risk register entries, audit scores, CAP items</w:t>
            </w:r>
          </w:p>
        </w:tc>
        <w:tc>
          <w:tcPr>
            <w:tcW w:type="dxa" w:w="372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0FDF4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Rarely -- typically anonymised or org-level data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E8521A"/>
          <w:sz w:val="22"/>
          <w:szCs w:val="22"/>
        </w:rPr>
        <w:t xml:space="preserve">2.3  Data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Step 1 -- Client submits audit data or document to Ralph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Step 2 -- RA team reviews and sanitises input (SanitiseForAI utility strips PII per RA-POL-AI-001)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Step 3 -- Sanitised input submitted to OpenAI GPT-4o via API (HTTPS encrypted)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Step 4 -- OpenAI processes and returns AI output (zero retention configured where possible)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Step 5 -- RA professional reviews, validates, and edits the AI 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Step 6 -- Validated output incorporated into deliverable with AI disclosure label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Step 7 -- Deliverable delivered to client via secure channel</w:t>
      </w:r>
    </w:p>
    <w:p>
      <w:pPr>
        <w:spacing w:after="0" w:before="4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117"/>
          <w:sz w:val="20"/>
          <w:szCs w:val="20"/>
        </w:rPr>
        <w:t xml:space="preserve">OpenAI does not use client data to train its models under our signed enterprise DPA (June 2026). API data processed under enterprise-grade security with SCCs for cross-border transfer compliance.</w:t>
      </w:r>
    </w:p>
    <w:p>
      <w:pPr>
        <w:spacing w:after="0" w:before="60"/>
      </w:pPr>
      <w: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3.  Necessity and Proportionality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720"/>
      </w:tblGrid>
      <w:tr>
        <w:tc>
          <w:tcPr>
            <w:tcW w:type="dxa" w:w="3000"/>
            <w:tcBorders>
              <w:top w:val="single" w:color="1E2235" w:sz="6"/>
              <w:left w:val="single" w:color="1E2235" w:sz="6"/>
              <w:bottom w:val="single" w:color="1E2235" w:sz="6"/>
              <w:right w:val="single" w:color="1E2235" w:sz="6"/>
            </w:tcBorders>
            <w:shd w:fill="1E2235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6720"/>
            <w:tcBorders>
              <w:top w:val="single" w:color="1E2235" w:sz="6"/>
              <w:left w:val="single" w:color="1E2235" w:sz="6"/>
              <w:bottom w:val="single" w:color="1E2235" w:sz="6"/>
              <w:right w:val="single" w:color="1E2235" w:sz="6"/>
            </w:tcBorders>
            <w:shd w:fill="1E2235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Ralph Analytics Position</w:t>
            </w:r>
          </w:p>
        </w:tc>
      </w:tr>
      <w:tr>
        <w:tc>
          <w:tcPr>
            <w:tcW w:type="dxa" w:w="28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4F5F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Is processing necessary?</w:t>
            </w:r>
          </w:p>
        </w:tc>
        <w:tc>
          <w:tcPr>
            <w:tcW w:type="dxa" w:w="692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Yes. AI-assisted analysis enables faster, more comprehensive gap identification than purely manual methods. AI augments -- not replaces -- professional expertise.</w:t>
            </w:r>
          </w:p>
        </w:tc>
      </w:tr>
      <w:tr>
        <w:tc>
          <w:tcPr>
            <w:tcW w:type="dxa" w:w="28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4F5F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Is a less privacy-invasive method available?</w:t>
            </w:r>
          </w:p>
        </w:tc>
        <w:tc>
          <w:tcPr>
            <w:tcW w:type="dxa" w:w="692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Manual-only analysis is possible but significantly slower. We apply minimum necessary data -- PII is stripped before AI submission. AI is the least invasive effective approach for the scope of service.</w:t>
            </w:r>
          </w:p>
        </w:tc>
      </w:tr>
      <w:tr>
        <w:tc>
          <w:tcPr>
            <w:tcW w:type="dxa" w:w="28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4F5F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Is processing proportionate?</w:t>
            </w:r>
          </w:p>
        </w:tc>
        <w:tc>
          <w:tcPr>
            <w:tcW w:type="dxa" w:w="692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Yes. Processing is limited to the specific engagement scope. Data is not retained beyond the engagement. PII is stripped from prompts before submission.</w:t>
            </w:r>
          </w:p>
        </w:tc>
      </w:tr>
      <w:tr>
        <w:tc>
          <w:tcPr>
            <w:tcW w:type="dxa" w:w="28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4F5F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Lawful basis?</w:t>
            </w:r>
          </w:p>
        </w:tc>
        <w:tc>
          <w:tcPr>
            <w:tcW w:type="dxa" w:w="692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Contractual necessity (POPIA Condition 2 / GDPR Art. 6(1)(b)) where personal data appears in client-submitted audit documents. Clients informed via PSA Clause 7 and privacy policy.</w:t>
            </w:r>
          </w:p>
        </w:tc>
      </w:tr>
      <w:tr>
        <w:tc>
          <w:tcPr>
            <w:tcW w:type="dxa" w:w="28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4F5F7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D1117"/>
                <w:sz w:val="19"/>
                <w:szCs w:val="19"/>
              </w:rPr>
              <w:t xml:space="preserve">Are data subjects informed?</w:t>
            </w:r>
          </w:p>
        </w:tc>
        <w:tc>
          <w:tcPr>
            <w:tcW w:type="dxa" w:w="692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0D1117"/>
                <w:sz w:val="19"/>
                <w:szCs w:val="19"/>
              </w:rPr>
              <w:t xml:space="preserve">Client organisations informed via PSA Clause 7.4 and privacy policy at ralph-analytics.com/privacy. Client organisations are responsible for notifying their own data subjects per their own privacy obligations.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4.  Risk Assessment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1000"/>
        <w:gridCol w:w="900"/>
        <w:gridCol w:w="2920"/>
        <w:gridCol w:w="900"/>
      </w:tblGrid>
      <w:tr>
        <w:tc>
          <w:tcPr>
            <w:tcW w:type="dxa" w:w="2000"/>
            <w:tcBorders>
              <w:top w:val="single" w:color="1E2235" w:sz="6"/>
              <w:left w:val="single" w:color="1E2235" w:sz="6"/>
              <w:bottom w:val="single" w:color="1E2235" w:sz="6"/>
              <w:right w:val="single" w:color="1E2235" w:sz="6"/>
            </w:tcBorders>
            <w:shd w:fill="1E2235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/ Threat</w:t>
            </w:r>
          </w:p>
        </w:tc>
        <w:tc>
          <w:tcPr>
            <w:tcW w:type="dxa" w:w="1000"/>
            <w:tcBorders>
              <w:top w:val="single" w:color="1E2235" w:sz="6"/>
              <w:left w:val="single" w:color="1E2235" w:sz="6"/>
              <w:bottom w:val="single" w:color="1E2235" w:sz="6"/>
              <w:right w:val="single" w:color="1E2235" w:sz="6"/>
            </w:tcBorders>
            <w:shd w:fill="1E2235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000"/>
            <w:tcBorders>
              <w:top w:val="single" w:color="1E2235" w:sz="6"/>
              <w:left w:val="single" w:color="1E2235" w:sz="6"/>
              <w:bottom w:val="single" w:color="1E2235" w:sz="6"/>
              <w:right w:val="single" w:color="1E2235" w:sz="6"/>
            </w:tcBorders>
            <w:shd w:fill="1E2235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900"/>
            <w:tcBorders>
              <w:top w:val="single" w:color="1E2235" w:sz="6"/>
              <w:left w:val="single" w:color="1E2235" w:sz="6"/>
              <w:bottom w:val="single" w:color="1E2235" w:sz="6"/>
              <w:right w:val="single" w:color="1E2235" w:sz="6"/>
            </w:tcBorders>
            <w:shd w:fill="1E2235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</w:t>
            </w:r>
          </w:p>
        </w:tc>
        <w:tc>
          <w:tcPr>
            <w:tcW w:type="dxa" w:w="2920"/>
            <w:tcBorders>
              <w:top w:val="single" w:color="1E2235" w:sz="6"/>
              <w:left w:val="single" w:color="1E2235" w:sz="6"/>
              <w:bottom w:val="single" w:color="1E2235" w:sz="6"/>
              <w:right w:val="single" w:color="1E2235" w:sz="6"/>
            </w:tcBorders>
            <w:shd w:fill="1E2235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Mitigating Controls</w:t>
            </w:r>
          </w:p>
        </w:tc>
        <w:tc>
          <w:tcPr>
            <w:tcW w:type="dxa" w:w="900"/>
            <w:tcBorders>
              <w:top w:val="single" w:color="1E2235" w:sz="6"/>
              <w:left w:val="single" w:color="1E2235" w:sz="6"/>
              <w:bottom w:val="single" w:color="1E2235" w:sz="6"/>
              <w:right w:val="single" w:color="1E2235" w:sz="6"/>
            </w:tcBorders>
            <w:shd w:fill="1E2235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Residual</w:t>
            </w:r>
          </w:p>
        </w:tc>
      </w:tr>
      <w:tr>
        <w:tc>
          <w:tcPr>
            <w:tcW w:type="dxa" w:w="20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PII accidentally included in AI prompt</w:t>
            </w:r>
          </w:p>
        </w:tc>
        <w:tc>
          <w:tcPr>
            <w:tcW w:type="dxa" w:w="10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FFBE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EF2F2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EF2F2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High</w:t>
            </w:r>
          </w:p>
        </w:tc>
        <w:tc>
          <w:tcPr>
            <w:tcW w:type="dxa" w:w="292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SanitiseForAI strips PII pre-submission. Staff training. Manual review step. RA-POL-AI-001 PII prohibition.</w:t>
            </w:r>
          </w:p>
        </w:tc>
        <w:tc>
          <w:tcPr>
            <w:tcW w:type="dxa" w:w="9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0FDF4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OpenAI data breach or unauthorised access</w:t>
            </w:r>
          </w:p>
        </w:tc>
        <w:tc>
          <w:tcPr>
            <w:tcW w:type="dxa" w:w="10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0FDF4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Low</w:t>
            </w:r>
          </w:p>
        </w:tc>
        <w:tc>
          <w:tcPr>
            <w:tcW w:type="dxa" w:w="10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EF2F2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FFBE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Medium</w:t>
            </w:r>
          </w:p>
        </w:tc>
        <w:tc>
          <w:tcPr>
            <w:tcW w:type="dxa" w:w="292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Signed enterprise DPA. API-only access (no consumer products). Zero data retention. SCCs. OpenAI enterprise-grade security.</w:t>
            </w:r>
          </w:p>
        </w:tc>
        <w:tc>
          <w:tcPr>
            <w:tcW w:type="dxa" w:w="9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0FDF4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AI output used without human review (automation bias)</w:t>
            </w:r>
          </w:p>
        </w:tc>
        <w:tc>
          <w:tcPr>
            <w:tcW w:type="dxa" w:w="10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0FDF4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Low</w:t>
            </w:r>
          </w:p>
        </w:tc>
        <w:tc>
          <w:tcPr>
            <w:tcW w:type="dxa" w:w="10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EF2F2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FFBE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Medium</w:t>
            </w:r>
          </w:p>
        </w:tc>
        <w:tc>
          <w:tcPr>
            <w:tcW w:type="dxa" w:w="292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Mandatory human review in RA-POL-AI-001. AI disclosure on all outputs. PSA Clause 7.5. AI Governance dashboard.</w:t>
            </w:r>
          </w:p>
        </w:tc>
        <w:tc>
          <w:tcPr>
            <w:tcW w:type="dxa" w:w="9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0FDF4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AI hallucination produces inaccurate compliance advice</w:t>
            </w:r>
          </w:p>
        </w:tc>
        <w:tc>
          <w:tcPr>
            <w:tcW w:type="dxa" w:w="10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FFBE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FFBE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FFBE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Medium</w:t>
            </w:r>
          </w:p>
        </w:tc>
        <w:tc>
          <w:tcPr>
            <w:tcW w:type="dxa" w:w="292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Professional validation before delivery. AI disclosure on deliverables. PSA Clause 7.7 -- client to independently verify.</w:t>
            </w:r>
          </w:p>
        </w:tc>
        <w:tc>
          <w:tcPr>
            <w:tcW w:type="dxa" w:w="9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0FDF4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Cross-border transfer to OpenAI (US) violates POPIA S72</w:t>
            </w:r>
          </w:p>
        </w:tc>
        <w:tc>
          <w:tcPr>
            <w:tcW w:type="dxa" w:w="10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0FDF4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Low</w:t>
            </w:r>
          </w:p>
        </w:tc>
        <w:tc>
          <w:tcPr>
            <w:tcW w:type="dxa" w:w="10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FFBE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0FDF4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Low</w:t>
            </w:r>
          </w:p>
        </w:tc>
        <w:tc>
          <w:tcPr>
            <w:tcW w:type="dxa" w:w="292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OpenAI DPA includes EU SCCs. Transfer Impact Assessment documented.</w:t>
            </w:r>
          </w:p>
        </w:tc>
        <w:tc>
          <w:tcPr>
            <w:tcW w:type="dxa" w:w="9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0FDF4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AI model bias -- unfair outputs for SA regulatory context</w:t>
            </w:r>
          </w:p>
        </w:tc>
        <w:tc>
          <w:tcPr>
            <w:tcW w:type="dxa" w:w="10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FFBE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FFBE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FFBE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Medium</w:t>
            </w:r>
          </w:p>
        </w:tc>
        <w:tc>
          <w:tcPr>
            <w:tcW w:type="dxa" w:w="292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Professional review flags biased outputs. SA-specific bias assessment planned Q3 2026. Staff trained to flag anomalies.</w:t>
            </w:r>
          </w:p>
        </w:tc>
        <w:tc>
          <w:tcPr>
            <w:tcW w:type="dxa" w:w="9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FFBE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Medium</w:t>
            </w:r>
          </w:p>
        </w:tc>
      </w:tr>
      <w:tr>
        <w:tc>
          <w:tcPr>
            <w:tcW w:type="dxa" w:w="20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Data subject rights not honoured</w:t>
            </w:r>
          </w:p>
        </w:tc>
        <w:tc>
          <w:tcPr>
            <w:tcW w:type="dxa" w:w="10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0FDF4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Low</w:t>
            </w:r>
          </w:p>
        </w:tc>
        <w:tc>
          <w:tcPr>
            <w:tcW w:type="dxa" w:w="10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FFBE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0FDF4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Low</w:t>
            </w:r>
          </w:p>
        </w:tc>
        <w:tc>
          <w:tcPr>
            <w:tcW w:type="dxa" w:w="292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RA retains control. OpenAI does not retain API data. Data subject requests handled by IO. Updated per POPIA April 2025 amendments.</w:t>
            </w:r>
          </w:p>
        </w:tc>
        <w:tc>
          <w:tcPr>
            <w:tcW w:type="dxa" w:w="9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0FDF4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Low</w:t>
            </w:r>
          </w:p>
        </w:tc>
      </w:tr>
      <w:tr>
        <w:tc>
          <w:tcPr>
            <w:tcW w:type="dxa" w:w="20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Scope creep -- AI used for unapproved purposes</w:t>
            </w:r>
          </w:p>
        </w:tc>
        <w:tc>
          <w:tcPr>
            <w:tcW w:type="dxa" w:w="10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0FDF4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Low</w:t>
            </w:r>
          </w:p>
        </w:tc>
        <w:tc>
          <w:tcPr>
            <w:tcW w:type="dxa" w:w="10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EF2F2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B91C1C"/>
                <w:sz w:val="19"/>
                <w:szCs w:val="19"/>
              </w:rPr>
              <w:t xml:space="preserve">High</w:t>
            </w:r>
          </w:p>
        </w:tc>
        <w:tc>
          <w:tcPr>
            <w:tcW w:type="dxa" w:w="9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FFBEB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Medium</w:t>
            </w:r>
          </w:p>
        </w:tc>
        <w:tc>
          <w:tcPr>
            <w:tcW w:type="dxa" w:w="292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 w:val="false"/>
                <w:bCs w:val="false"/>
                <w:color w:val="0D1117"/>
                <w:sz w:val="19"/>
                <w:szCs w:val="19"/>
              </w:rPr>
              <w:t xml:space="preserve">Approved use cases in RA-POL-AI-001. Prohibited uses listed. New uses require Data/AI Lead approval. AI interaction logging active.</w:t>
            </w:r>
          </w:p>
        </w:tc>
        <w:tc>
          <w:tcPr>
            <w:tcW w:type="dxa" w:w="90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0FDF4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50" w:before="50"/>
            </w:pPr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Low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5.  Measures to Address Risks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E8521A"/>
          <w:sz w:val="22"/>
          <w:szCs w:val="22"/>
        </w:rPr>
        <w:t xml:space="preserve">5.1  Technical Measures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SanitiseForAI utility: strips PII from all inputs before API submission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API-only access: OpenAI accessed exclusively via API -- never via consumer interfaces (ChatGPT.com)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HTTPS encryption: all data transmitted via TLS 1.2+ encrypted connections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Zero data retention: OpenAI API configured for zero data retention where available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API key controls: keys restricted to authorised personnel, rotated regularly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AI Governance dashboard: all AI interactions logged and reviewable by admin</w:t>
      </w:r>
    </w:p>
    <w:p>
      <w:pPr>
        <w:spacing w:after="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E8521A"/>
          <w:sz w:val="22"/>
          <w:szCs w:val="22"/>
        </w:rPr>
        <w:t xml:space="preserve">5.2  Organisational Measures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RA-POL-AI-001 v1.1: Internal AI Governance Policy -- mandatory for all staff and contractors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AI training: all staff complete AI governance training within 30 days of onboarding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Human oversight: all AI outputs reviewed and validated by qualified professional before delivery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Information Officer: registered with Information Regulator of South Africa (POPIA S55)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Incident response: AI data incidents reported per POPIA S22 and GDPR Art. 33</w:t>
      </w:r>
    </w:p>
    <w:p>
      <w:pPr>
        <w:spacing w:after="0" w:before="40"/>
      </w:pPr>
      <w:r>
        <w:t xml:space="preserv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E8521A"/>
          <w:sz w:val="22"/>
          <w:szCs w:val="22"/>
        </w:rPr>
        <w:t xml:space="preserve">5.3  Contractual Measures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Signed OpenAI DPA: Data Processing Agreement governs all API data processing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PSA Clause 7: AI Services clause in all client contracts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PSA Clause 7.4: Prohibits sensitive personal data input to AI without prior written client consent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0D1117"/>
          <w:sz w:val="20"/>
          <w:szCs w:val="20"/>
        </w:rPr>
        <w:t xml:space="preserve">Privacy Policy: Public AI transparency section at ralph-analytics.com/privacy</w:t>
      </w:r>
    </w:p>
    <w:p>
      <w:pPr>
        <w:spacing w:after="0" w:before="60"/>
      </w:pPr>
      <w: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6.  Conclusion and Recommendation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20"/>
      </w:tblGrid>
      <w:tr>
        <w:tc>
          <w:tcPr>
            <w:tcW w:type="dxa" w:w="9720"/>
            <w:tcBorders>
              <w:top w:val="single" w:color="86EFAC" w:sz="6"/>
              <w:left w:val="single" w:color="86EFAC" w:sz="6"/>
              <w:bottom w:val="single" w:color="86EFAC" w:sz="6"/>
              <w:right w:val="single" w:color="86EFAC" w:sz="6"/>
            </w:tcBorders>
            <w:shd w:fill="F0FDF4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20" w:before="60"/>
            </w:pPr>
            <w:r>
              <w:rPr>
                <w:rFonts w:ascii="Arial" w:cs="Arial" w:eastAsia="Arial" w:hAnsi="Arial"/>
                <w:b/>
                <w:bCs/>
                <w:color w:val="16A34A"/>
                <w:sz w:val="28"/>
                <w:szCs w:val="28"/>
              </w:rPr>
              <w:t xml:space="preserve">APPROVED TO PROCEED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color w:val="0D1117"/>
                <w:sz w:val="20"/>
                <w:szCs w:val="20"/>
              </w:rPr>
              <w:t xml:space="preserve">Ralph Analytics may proceed with AI-assisted compliance analytics as described in this DPIA, subject to all controls in Section 5 being in place and maintained. The residual risk profile is acceptable. No prior consultation with the Information Regulator is required at this stage.</w:t>
            </w:r>
          </w:p>
        </w:tc>
      </w:tr>
    </w:tbl>
    <w:p>
      <w:pPr>
        <w:spacing w:after="0" w:before="4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117"/>
          <w:sz w:val="20"/>
          <w:szCs w:val="20"/>
        </w:rPr>
        <w:t xml:space="preserve">The one Medium residual risk (AI model bias for SA context) is being addressed through a planned bias assessment in Q3 2026. This DPIA must be reviewed if: the AI model or provider changes; personal data scope changes materially; a new high-risk use case is identified; or a data incident occurs.</w:t>
      </w:r>
    </w:p>
    <w:p>
      <w:pPr>
        <w:spacing w:after="0" w:before="60"/>
      </w:pPr>
      <w:r>
        <w:t xml:space="preserve"/>
      </w:r>
    </w:p>
    <w:p>
      <w:pPr>
        <w:pBdr>
          <w:bottom w:val="single" w:color="E2E4E9" w:sz="4"/>
        </w:pBdr>
        <w:spacing w:after="120" w:before="120"/>
      </w:pPr>
      <w:r>
        <w:t xml:space="preserve"/>
      </w:r>
    </w:p>
    <w:p>
      <w:pPr>
        <w:pStyle w:val="Heading1"/>
        <w:spacing w:after="140" w:before="300"/>
      </w:pPr>
      <w:r>
        <w:rPr>
          <w:rFonts w:ascii="Arial" w:cs="Arial" w:eastAsia="Arial" w:hAnsi="Arial"/>
          <w:b/>
          <w:bCs/>
          <w:color w:val="0D1117"/>
          <w:sz w:val="28"/>
          <w:szCs w:val="28"/>
        </w:rPr>
        <w:t xml:space="preserve">7.  Sign-Off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40"/>
        <w:gridCol w:w="3240"/>
        <w:gridCol w:w="3240"/>
      </w:tblGrid>
      <w:tr>
        <w:tc>
          <w:tcPr>
            <w:tcW w:type="dxa" w:w="3240"/>
            <w:tcBorders>
              <w:top w:val="single" w:color="1E2235" w:sz="6"/>
              <w:left w:val="single" w:color="1E2235" w:sz="6"/>
              <w:bottom w:val="single" w:color="1E2235" w:sz="6"/>
              <w:right w:val="single" w:color="1E2235" w:sz="6"/>
            </w:tcBorders>
            <w:shd w:fill="1E2235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Data/AI Lead</w:t>
            </w:r>
          </w:p>
        </w:tc>
        <w:tc>
          <w:tcPr>
            <w:tcW w:type="dxa" w:w="3240"/>
            <w:tcBorders>
              <w:top w:val="single" w:color="1E2235" w:sz="6"/>
              <w:left w:val="single" w:color="1E2235" w:sz="6"/>
              <w:bottom w:val="single" w:color="1E2235" w:sz="6"/>
              <w:right w:val="single" w:color="1E2235" w:sz="6"/>
            </w:tcBorders>
            <w:shd w:fill="1E2235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Information Officer</w:t>
            </w:r>
          </w:p>
        </w:tc>
        <w:tc>
          <w:tcPr>
            <w:tcW w:type="dxa" w:w="3240"/>
            <w:tcBorders>
              <w:top w:val="single" w:color="1E2235" w:sz="6"/>
              <w:left w:val="single" w:color="1E2235" w:sz="6"/>
              <w:bottom w:val="single" w:color="1E2235" w:sz="6"/>
              <w:right w:val="single" w:color="1E2235" w:sz="6"/>
            </w:tcBorders>
            <w:shd w:fill="1E2235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Managing Director</w:t>
            </w:r>
          </w:p>
        </w:tc>
      </w:tr>
      <w:tr>
        <w:tc>
          <w:tcPr>
            <w:tcW w:type="dxa" w:w="324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40"/>
            </w:pPr>
            <w:r>
              <w:t xml:space="preserve"/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117"/>
                <w:sz w:val="20"/>
                <w:szCs w:val="20"/>
              </w:rPr>
              <w:t xml:space="preserve">Name:  ___________________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117"/>
                <w:sz w:val="20"/>
                <w:szCs w:val="20"/>
              </w:rPr>
              <w:t xml:space="preserve">Signature:  _______________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117"/>
                <w:sz w:val="20"/>
                <w:szCs w:val="20"/>
              </w:rPr>
              <w:t xml:space="preserve">Date:  ____________________</w:t>
            </w:r>
          </w:p>
          <w:p>
            <w:pPr>
              <w:spacing w:after="0" w:before="20"/>
            </w:pPr>
            <w:r>
              <w:t xml:space="preserve"/>
            </w:r>
          </w:p>
        </w:tc>
        <w:tc>
          <w:tcPr>
            <w:tcW w:type="dxa" w:w="324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40"/>
            </w:pPr>
            <w:r>
              <w:t xml:space="preserve"/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117"/>
                <w:sz w:val="20"/>
                <w:szCs w:val="20"/>
              </w:rPr>
              <w:t xml:space="preserve">Name:  ___________________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117"/>
                <w:sz w:val="20"/>
                <w:szCs w:val="20"/>
              </w:rPr>
              <w:t xml:space="preserve">Signature:  _______________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117"/>
                <w:sz w:val="20"/>
                <w:szCs w:val="20"/>
              </w:rPr>
              <w:t xml:space="preserve">Date:  ____________________</w:t>
            </w:r>
          </w:p>
          <w:p>
            <w:pPr>
              <w:spacing w:after="0" w:before="20"/>
            </w:pPr>
            <w:r>
              <w:t xml:space="preserve"/>
            </w:r>
          </w:p>
        </w:tc>
        <w:tc>
          <w:tcPr>
            <w:tcW w:type="dxa" w:w="3240"/>
            <w:tcBorders>
              <w:top w:val="single" w:color="E2E4E9" w:sz="6"/>
              <w:left w:val="single" w:color="E2E4E9" w:sz="6"/>
              <w:bottom w:val="single" w:color="E2E4E9" w:sz="6"/>
              <w:right w:val="single" w:color="E2E4E9" w:sz="6"/>
            </w:tcBorders>
            <w:shd w:fill="FFFFFF" w:val="clear"/>
            <w:tcMar>
              <w:top w:type="dxa" w:w="110"/>
              <w:left w:type="dxa" w:w="150"/>
              <w:bottom w:type="dxa" w:w="110"/>
              <w:right w:type="dxa" w:w="150"/>
            </w:tcMar>
            <w:vAlign w:val="top"/>
          </w:tcPr>
          <w:p>
            <w:pPr>
              <w:spacing w:after="0" w:before="40"/>
            </w:pPr>
            <w:r>
              <w:t xml:space="preserve"/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117"/>
                <w:sz w:val="20"/>
                <w:szCs w:val="20"/>
              </w:rPr>
              <w:t xml:space="preserve">Name:  ___________________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117"/>
                <w:sz w:val="20"/>
                <w:szCs w:val="20"/>
              </w:rPr>
              <w:t xml:space="preserve">Signature:  _______________</w:t>
            </w:r>
          </w:p>
          <w:p>
            <w:pPr>
              <w:spacing w:after="80" w:before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117"/>
                <w:sz w:val="20"/>
                <w:szCs w:val="20"/>
              </w:rPr>
              <w:t xml:space="preserve">Date:  ____________________</w:t>
            </w:r>
          </w:p>
          <w:p>
            <w:pPr>
              <w:spacing w:after="0" w:before="20"/>
            </w:pPr>
            <w:r>
              <w:t xml:space="preserve"/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bottom w:val="single" w:color="E2E4E9" w:sz="4"/>
        </w:pBdr>
        <w:spacing w:after="120" w:before="120"/>
      </w:pPr>
      <w:r>
        <w:t xml:space="preserve"/>
      </w:r>
    </w:p>
    <w:p>
      <w:pPr>
        <w:spacing w:after="0" w:before="4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77"/>
          <w:sz w:val="20"/>
          <w:szCs w:val="20"/>
        </w:rPr>
        <w:t xml:space="preserve">RA-DPIA-AI-001 | Version 1.0 | 26 June 2026 | Confidential -- Internal Use Only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77"/>
          <w:sz w:val="20"/>
          <w:szCs w:val="20"/>
        </w:rPr>
        <w:t xml:space="preserve">Retain for duration of processing activity plus 5 years. Copyright 2026 Ralph Analytics (Pty) Ltd.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00"/>
      <w:gridCol w:w="3520"/>
    </w:tblGrid>
    <w:tr>
      <w:tc>
        <w:tcPr>
          <w:tcW w:type="dxa" w:w="6200"/>
          <w:tcBorders>
            <w:top w:val="single" w:color="E2E4E9" w:sz="6"/>
            <w:left w:val="none" w:color="FFFFFF" w:sz="0"/>
            <w:bottom w:val="none" w:color="FFFFFF" w:sz="0"/>
            <w:right w:val="none" w:color="FFFFFF" w:sz="0"/>
          </w:tcBorders>
          <w:tcMar>
            <w:top w:type="dxa" w:w="110"/>
            <w:left w:type="dxa" w:w="150"/>
            <w:bottom w:type="dxa" w:w="110"/>
            <w:right w:type="dxa" w:w="150"/>
          </w:tcMar>
          <w:vAlign w:val="top"/>
        </w:tcPr>
        <w:p>
          <w:pPr>
            <w:spacing w:after="80" w:before="8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666677"/>
              <w:sz w:val="16"/>
              <w:szCs w:val="16"/>
            </w:rPr>
            <w:t xml:space="preserve">Copyright 2026 Ralph Analytics (Pty) Ltd. Confidential.</w:t>
          </w:r>
        </w:p>
      </w:tc>
      <w:tc>
        <w:tcPr>
          <w:tcW w:type="dxa" w:w="3520"/>
          <w:tcBorders>
            <w:top w:val="single" w:color="E2E4E9" w:sz="6"/>
            <w:left w:val="none" w:color="FFFFFF" w:sz="0"/>
            <w:bottom w:val="none" w:color="FFFFFF" w:sz="0"/>
            <w:right w:val="none" w:color="FFFFFF" w:sz="0"/>
          </w:tcBorders>
          <w:tcMar>
            <w:top w:type="dxa" w:w="110"/>
            <w:left w:type="dxa" w:w="150"/>
            <w:bottom w:type="dxa" w:w="110"/>
            <w:right w:type="dxa" w:w="150"/>
          </w:tcMar>
          <w:vAlign w:val="top"/>
        </w:tcPr>
        <w:p>
          <w:pPr>
            <w:jc w:val="right"/>
          </w:pPr>
          <w:r>
            <w:rPr>
              <w:rFonts w:ascii="Arial" w:cs="Arial" w:eastAsia="Arial" w:hAnsi="Arial"/>
              <w:color w:val="666677"/>
              <w:sz w:val="16"/>
              <w:szCs w:val="16"/>
            </w:rPr>
            <w:t xml:space="preserve">Page </w:t>
          </w:r>
          <w:pgNum/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2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200"/>
      <w:gridCol w:w="3520"/>
    </w:tblGrid>
    <w:tr>
      <w:tc>
        <w:tcPr>
          <w:tcW w:type="dxa" w:w="6200"/>
          <w:tcBorders>
            <w:top w:val="none" w:color="FFFFFF" w:sz="0"/>
            <w:left w:val="none" w:color="FFFFFF" w:sz="0"/>
            <w:bottom w:val="single" w:color="E2E4E9" w:sz="6"/>
            <w:right w:val="none" w:color="FFFFFF" w:sz="0"/>
          </w:tcBorders>
          <w:tcMar>
            <w:top w:type="dxa" w:w="110"/>
            <w:left w:type="dxa" w:w="150"/>
            <w:bottom w:type="dxa" w:w="110"/>
            <w:right w:type="dxa" w:w="150"/>
          </w:tcMar>
          <w:vAlign w:val="top"/>
        </w:tcPr>
        <w:p>
          <w:pPr>
            <w:spacing w:after="80" w:before="80"/>
            <w:jc w:val="left"/>
          </w:pPr>
          <w:r>
            <w:rPr>
              <w:rFonts w:ascii="Arial" w:cs="Arial" w:eastAsia="Arial" w:hAnsi="Arial"/>
              <w:b w:val="false"/>
              <w:bCs w:val="false"/>
              <w:i w:val="false"/>
              <w:iCs w:val="false"/>
              <w:color w:val="666677"/>
              <w:sz w:val="16"/>
              <w:szCs w:val="16"/>
            </w:rPr>
            <w:t xml:space="preserve">Ralph Analytics — Data Protection Impact Assessment</w:t>
          </w:r>
        </w:p>
      </w:tc>
      <w:tc>
        <w:tcPr>
          <w:tcW w:type="dxa" w:w="3520"/>
          <w:tcBorders>
            <w:top w:val="none" w:color="FFFFFF" w:sz="0"/>
            <w:left w:val="none" w:color="FFFFFF" w:sz="0"/>
            <w:bottom w:val="single" w:color="E2E4E9" w:sz="6"/>
            <w:right w:val="none" w:color="FFFFFF" w:sz="0"/>
          </w:tcBorders>
          <w:tcMar>
            <w:top w:type="dxa" w:w="110"/>
            <w:left w:type="dxa" w:w="150"/>
            <w:bottom w:type="dxa" w:w="110"/>
            <w:right w:type="dxa" w:w="150"/>
          </w:tcMar>
          <w:vAlign w:val="top"/>
        </w:tcPr>
        <w:p>
          <w:pPr>
            <w:jc w:val="right"/>
          </w:pPr>
          <w:r>
            <w:rPr>
              <w:rFonts w:ascii="Arial" w:cs="Arial" w:eastAsia="Arial" w:hAnsi="Arial"/>
              <w:b/>
              <w:bCs/>
              <w:color w:val="E8521A"/>
              <w:sz w:val="16"/>
              <w:szCs w:val="16"/>
            </w:rPr>
            <w:t xml:space="preserve">RA-DPIA-AI-001  |  GDPR Art.35 / POPIA S22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  <w:rPr>
        <w:color w:val="E8521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40" w:before="300"/>
      <w:outlineLvl w:val="0"/>
    </w:pPr>
    <w:rPr>
      <w:rFonts w:ascii="Arial" w:cs="Arial" w:eastAsia="Arial" w:hAnsi="Arial"/>
      <w:b/>
      <w:bCs/>
      <w:color w:val="0D1117"/>
      <w:sz w:val="28"/>
      <w:szCs w:val="28"/>
    </w:rPr>
  </w:style>
  <w:style w:type="paragraph" w:styleId="Heading2">
    <w:name w:val="Heading 2"/>
    <w:basedOn w:val="Normal"/>
    <w:next w:val="Normal"/>
    <w:pPr>
      <w:spacing w:after="100" w:before="200"/>
      <w:outlineLvl w:val="1"/>
    </w:pPr>
    <w:rPr>
      <w:rFonts w:ascii="Arial" w:cs="Arial" w:eastAsia="Arial" w:hAnsi="Arial"/>
      <w:b/>
      <w:bCs/>
      <w:color w:val="E852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DPIA — AI-Assisted Compliance Analytics</dc:title>
  <dc:creator>Ralph Analytics</dc:creator>
  <cp:lastModifiedBy>Un-named</cp:lastModifiedBy>
  <cp:revision>1</cp:revision>
  <dcterms:created xsi:type="dcterms:W3CDTF">2026-06-26T07:35:46.482Z</dcterms:created>
  <dcterms:modified xsi:type="dcterms:W3CDTF">2026-06-26T07:35:46.482Z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