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E8521A"/>
          <w:sz w:val="28"/>
          <w:szCs w:val="28"/>
        </w:rPr>
        <w:t xml:space="preserve">RALPH ANALYTICS</w:t>
      </w:r>
    </w:p>
    <w:p>
      <w:pPr>
        <w:spacing w:after="60" w:before="0"/>
        <w:jc w:val="center"/>
      </w:pPr>
      <w:r>
        <w:rPr>
          <w:rFonts w:ascii="Arial" w:cs="Arial" w:eastAsia="Arial" w:hAnsi="Arial"/>
          <w:b/>
          <w:bCs/>
          <w:color w:val="0D1117"/>
          <w:sz w:val="44"/>
          <w:szCs w:val="44"/>
        </w:rPr>
        <w:t xml:space="preserve">Professional Services Agreement</w:t>
      </w:r>
    </w:p>
    <w:p>
      <w:pPr>
        <w:spacing w:after="200" w:before="0"/>
        <w:jc w:val="center"/>
      </w:pPr>
      <w:r>
        <w:rPr>
          <w:rFonts w:ascii="Arial" w:cs="Arial" w:eastAsia="Arial" w:hAnsi="Arial"/>
          <w:color w:val="666677"/>
          <w:sz w:val="22"/>
          <w:szCs w:val="22"/>
        </w:rPr>
        <w:t xml:space="preserve">Including AI Services Clause (Clause 7)</w:t>
      </w:r>
    </w:p>
    <w:p>
      <w:pPr>
        <w:pBdr>
          <w:bottom w:val="single" w:color="E2E4E9" w:sz="4"/>
        </w:pBdr>
        <w:spacing w:after="120" w:before="12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E8521A"/>
                <w:sz w:val="20"/>
                <w:szCs w:val="20"/>
              </w:rPr>
              <w:t xml:space="preserve">SERVICE PROVIDER</w:t>
            </w:r>
          </w:p>
        </w:tc>
        <w:tc>
          <w:tcPr>
            <w:tcW w:type="dxa" w:w="468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D1117"/>
                <w:sz w:val="20"/>
                <w:szCs w:val="20"/>
              </w:rPr>
              <w:t xml:space="preserve">CLIENT</w:t>
            </w:r>
          </w:p>
        </w:tc>
      </w:tr>
      <w:tr>
        <w:tc>
          <w:tcPr>
            <w:tcW w:type="dxa" w:w="468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D1117"/>
                <w:sz w:val="20"/>
                <w:szCs w:val="20"/>
              </w:rPr>
              <w:t xml:space="preserve">Ralph Analytics (Pty) Ltd</w:t>
            </w:r>
          </w:p>
          <w:p>
            <w:pPr>
              <w:spacing w:after="80" w:before="80"/>
              <w:jc w:val="left"/>
            </w:pPr>
            <w:r>
              <w:rPr>
                <w:rFonts w:ascii="Arial" w:cs="Arial" w:eastAsia="Arial" w:hAnsi="Arial"/>
                <w:b w:val="false"/>
                <w:bCs w:val="false"/>
                <w:i w:val="false"/>
                <w:iCs w:val="false"/>
                <w:color w:val="666677"/>
                <w:sz w:val="18"/>
                <w:szCs w:val="18"/>
              </w:rPr>
              <w:t xml:space="preserve">Registration No.: [●]</w:t>
            </w:r>
          </w:p>
          <w:p>
            <w:pPr>
              <w:spacing w:after="80" w:before="80"/>
              <w:jc w:val="left"/>
            </w:pPr>
            <w:r>
              <w:rPr>
                <w:rFonts w:ascii="Arial" w:cs="Arial" w:eastAsia="Arial" w:hAnsi="Arial"/>
                <w:b w:val="false"/>
                <w:bCs w:val="false"/>
                <w:i w:val="false"/>
                <w:iCs w:val="false"/>
                <w:color w:val="666677"/>
                <w:sz w:val="18"/>
                <w:szCs w:val="18"/>
              </w:rPr>
              <w:t xml:space="preserve">South Africa</w:t>
            </w:r>
          </w:p>
          <w:p>
            <w:pPr>
              <w:spacing w:after="80" w:before="80"/>
              <w:jc w:val="left"/>
            </w:pPr>
            <w:r>
              <w:rPr>
                <w:rFonts w:ascii="Arial" w:cs="Arial" w:eastAsia="Arial" w:hAnsi="Arial"/>
                <w:b w:val="false"/>
                <w:bCs w:val="false"/>
                <w:i w:val="false"/>
                <w:iCs w:val="false"/>
                <w:color w:val="666677"/>
                <w:sz w:val="18"/>
                <w:szCs w:val="18"/>
              </w:rPr>
              <w:t xml:space="preserve">admin@ralph-analytics.com</w:t>
            </w:r>
          </w:p>
        </w:tc>
        <w:tc>
          <w:tcPr>
            <w:tcW w:type="dxa" w:w="468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80" w:before="80"/>
              <w:jc w:val="left"/>
            </w:pPr>
            <w:r>
              <w:rPr>
                <w:rFonts w:ascii="Arial" w:cs="Arial" w:eastAsia="Arial" w:hAnsi="Arial"/>
                <w:b/>
                <w:bCs/>
                <w:i/>
                <w:iCs/>
                <w:color w:val="2563EB"/>
                <w:sz w:val="20"/>
                <w:szCs w:val="20"/>
              </w:rPr>
              <w:t xml:space="preserve">[CLIENT LEGAL NAME]</w:t>
            </w:r>
          </w:p>
          <w:p>
            <w:pPr>
              <w:spacing w:after="80" w:before="80"/>
              <w:jc w:val="left"/>
            </w:pPr>
            <w:r>
              <w:rPr>
                <w:rFonts w:ascii="Arial" w:cs="Arial" w:eastAsia="Arial" w:hAnsi="Arial"/>
                <w:b w:val="false"/>
                <w:bCs w:val="false"/>
                <w:i/>
                <w:iCs/>
                <w:color w:val="666677"/>
                <w:sz w:val="18"/>
                <w:szCs w:val="18"/>
              </w:rPr>
              <w:t xml:space="preserve">Registration No.: [●]</w:t>
            </w:r>
          </w:p>
          <w:p>
            <w:pPr>
              <w:spacing w:after="80" w:before="80"/>
              <w:jc w:val="left"/>
            </w:pPr>
            <w:r>
              <w:rPr>
                <w:rFonts w:ascii="Arial" w:cs="Arial" w:eastAsia="Arial" w:hAnsi="Arial"/>
                <w:b w:val="false"/>
                <w:bCs w:val="false"/>
                <w:i/>
                <w:iCs/>
                <w:color w:val="666677"/>
                <w:sz w:val="18"/>
                <w:szCs w:val="18"/>
              </w:rPr>
              <w:t xml:space="preserve">[Country / Jurisdiction]</w:t>
            </w:r>
          </w:p>
          <w:p>
            <w:pPr>
              <w:spacing w:after="80" w:before="80"/>
              <w:jc w:val="left"/>
            </w:pPr>
            <w:r>
              <w:rPr>
                <w:rFonts w:ascii="Arial" w:cs="Arial" w:eastAsia="Arial" w:hAnsi="Arial"/>
                <w:b w:val="false"/>
                <w:bCs w:val="false"/>
                <w:i/>
                <w:iCs/>
                <w:color w:val="666677"/>
                <w:sz w:val="18"/>
                <w:szCs w:val="18"/>
              </w:rPr>
              <w:t xml:space="preserve">[client@email.com]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Agreement Date:</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iCs/>
                <w:color w:val="2563EB"/>
                <w:sz w:val="19"/>
                <w:szCs w:val="19"/>
              </w:rPr>
              <w:t xml:space="preserve">[Insert Date]</w:t>
            </w:r>
          </w:p>
        </w:tc>
      </w:tr>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Engagement Type:</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iCs/>
                <w:color w:val="2563EB"/>
                <w:sz w:val="19"/>
                <w:szCs w:val="19"/>
              </w:rPr>
              <w:t xml:space="preserve">[e.g., Compliance Advisory / M&amp;E Analytics / Audit Readiness]</w:t>
            </w:r>
          </w:p>
        </w:tc>
      </w:tr>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Project Reference:</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iCs/>
                <w:color w:val="2563EB"/>
                <w:sz w:val="19"/>
                <w:szCs w:val="19"/>
              </w:rPr>
              <w:t xml:space="preserve">[RA-YEAR-CLIENT-CODE]</w:t>
            </w:r>
          </w:p>
        </w:tc>
      </w:tr>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Governing Law:</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val="false"/>
                <w:iCs w:val="false"/>
                <w:color w:val="0D1117"/>
                <w:sz w:val="19"/>
                <w:szCs w:val="19"/>
              </w:rPr>
              <w:t xml:space="preserve">Republic of South Africa</w:t>
            </w:r>
          </w:p>
        </w:tc>
      </w:tr>
    </w:tbl>
    <w:p>
      <w:r>
        <w:br w:type="page"/>
      </w:r>
    </w:p>
    <w:p>
      <w:pPr>
        <w:pStyle w:val="Heading1"/>
        <w:spacing w:after="140" w:before="320"/>
      </w:pPr>
      <w:r>
        <w:rPr>
          <w:rFonts w:ascii="Arial" w:cs="Arial" w:eastAsia="Arial" w:hAnsi="Arial"/>
          <w:b/>
          <w:bCs/>
          <w:color w:val="0D1117"/>
          <w:sz w:val="28"/>
          <w:szCs w:val="28"/>
        </w:rPr>
        <w:t xml:space="preserve">1.  Definitions</w:t>
      </w:r>
    </w:p>
    <w:p>
      <w:pPr>
        <w:spacing w:after="80" w:before="80"/>
        <w:jc w:val="left"/>
      </w:pPr>
      <w:r>
        <w:rPr>
          <w:rFonts w:ascii="Arial" w:cs="Arial" w:eastAsia="Arial" w:hAnsi="Arial"/>
          <w:b w:val="false"/>
          <w:bCs w:val="false"/>
          <w:i w:val="false"/>
          <w:iCs w:val="false"/>
          <w:color w:val="0D1117"/>
          <w:sz w:val="20"/>
          <w:szCs w:val="20"/>
        </w:rPr>
        <w:t xml:space="preserve">In this Agreement the following terms have the meanings set out below: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D1117"/>
                <w:sz w:val="20"/>
                <w:szCs w:val="20"/>
              </w:rPr>
              <w:t xml:space="preserve">"Agreement"</w:t>
            </w:r>
          </w:p>
        </w:tc>
        <w:tc>
          <w:tcPr>
            <w:tcW w:type="dxa" w:w="7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This Professional Services Agreement together with all Schedules.</w:t>
            </w:r>
          </w:p>
        </w:tc>
      </w:tr>
      <w:tr>
        <w:tc>
          <w:tcPr>
            <w:tcW w:type="dxa" w:w="22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D1117"/>
                <w:sz w:val="20"/>
                <w:szCs w:val="20"/>
              </w:rPr>
              <w:t xml:space="preserve">"AI Services"</w:t>
            </w:r>
          </w:p>
        </w:tc>
        <w:tc>
          <w:tcPr>
            <w:tcW w:type="dxa" w:w="7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Any services delivered using artificial intelligence tools, models, or platforms, including but not limited to OpenAI GPT-4o, machine learning models, and AI-enabled analytics.</w:t>
            </w:r>
          </w:p>
        </w:tc>
      </w:tr>
      <w:tr>
        <w:tc>
          <w:tcPr>
            <w:tcW w:type="dxa" w:w="22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D1117"/>
                <w:sz w:val="20"/>
                <w:szCs w:val="20"/>
              </w:rPr>
              <w:t xml:space="preserve">"AI Output"</w:t>
            </w:r>
          </w:p>
        </w:tc>
        <w:tc>
          <w:tcPr>
            <w:tcW w:type="dxa" w:w="7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Any report, analysis, recommendation, code, or deliverable generated in whole or in part through AI Tools.</w:t>
            </w:r>
          </w:p>
        </w:tc>
      </w:tr>
      <w:tr>
        <w:tc>
          <w:tcPr>
            <w:tcW w:type="dxa" w:w="22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D1117"/>
                <w:sz w:val="20"/>
                <w:szCs w:val="20"/>
              </w:rPr>
              <w:t xml:space="preserve">"Confidential Information"</w:t>
            </w:r>
          </w:p>
        </w:tc>
        <w:tc>
          <w:tcPr>
            <w:tcW w:type="dxa" w:w="7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Any non-public information disclosed by either Party in connection with this Agreement.</w:t>
            </w:r>
          </w:p>
        </w:tc>
      </w:tr>
      <w:tr>
        <w:tc>
          <w:tcPr>
            <w:tcW w:type="dxa" w:w="22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D1117"/>
                <w:sz w:val="20"/>
                <w:szCs w:val="20"/>
              </w:rPr>
              <w:t xml:space="preserve">"Deliverables"</w:t>
            </w:r>
          </w:p>
        </w:tc>
        <w:tc>
          <w:tcPr>
            <w:tcW w:type="dxa" w:w="7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The outputs, reports, documents, code, or materials produced by Ralph Analytics under this Agreement.</w:t>
            </w:r>
          </w:p>
        </w:tc>
      </w:tr>
      <w:tr>
        <w:tc>
          <w:tcPr>
            <w:tcW w:type="dxa" w:w="22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D1117"/>
                <w:sz w:val="20"/>
                <w:szCs w:val="20"/>
              </w:rPr>
              <w:t xml:space="preserve">"Personal Data"</w:t>
            </w:r>
          </w:p>
        </w:tc>
        <w:tc>
          <w:tcPr>
            <w:tcW w:type="dxa" w:w="7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Any information relating to an identified or identifiable natural person as defined under POPIA and/or GDPR.</w:t>
            </w:r>
          </w:p>
        </w:tc>
      </w:tr>
      <w:tr>
        <w:tc>
          <w:tcPr>
            <w:tcW w:type="dxa" w:w="22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D1117"/>
                <w:sz w:val="20"/>
                <w:szCs w:val="20"/>
              </w:rPr>
              <w:t xml:space="preserve">"Services"</w:t>
            </w:r>
          </w:p>
        </w:tc>
        <w:tc>
          <w:tcPr>
            <w:tcW w:type="dxa" w:w="71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0D1117"/>
                <w:sz w:val="19"/>
                <w:szCs w:val="19"/>
              </w:rPr>
              <w:t xml:space="preserve">The professional services described in Schedule A.</w:t>
            </w:r>
          </w:p>
        </w:tc>
      </w:tr>
    </w:tbl>
    <w:p>
      <w:pPr>
        <w:spacing w:after="0" w:before="60"/>
      </w:pPr>
      <w:r>
        <w:t xml:space="preserve"/>
      </w:r>
    </w:p>
    <w:p>
      <w:pPr>
        <w:pStyle w:val="Heading1"/>
        <w:spacing w:after="140" w:before="320"/>
      </w:pPr>
      <w:r>
        <w:rPr>
          <w:rFonts w:ascii="Arial" w:cs="Arial" w:eastAsia="Arial" w:hAnsi="Arial"/>
          <w:b/>
          <w:bCs/>
          <w:color w:val="0D1117"/>
          <w:sz w:val="28"/>
          <w:szCs w:val="28"/>
        </w:rPr>
        <w:t xml:space="preserve">2.  Services</w:t>
      </w:r>
    </w:p>
    <w:p>
      <w:pPr>
        <w:pStyle w:val="Heading2"/>
        <w:spacing w:after="100" w:before="200"/>
      </w:pPr>
      <w:r>
        <w:rPr>
          <w:rFonts w:ascii="Arial" w:cs="Arial" w:eastAsia="Arial" w:hAnsi="Arial"/>
          <w:b/>
          <w:bCs/>
          <w:color w:val="0D1117"/>
          <w:sz w:val="22"/>
          <w:szCs w:val="22"/>
        </w:rPr>
        <w:t xml:space="preserve">2.1  Scope of Services</w:t>
      </w:r>
    </w:p>
    <w:p>
      <w:pPr>
        <w:spacing w:after="80" w:before="80"/>
        <w:jc w:val="left"/>
      </w:pPr>
      <w:r>
        <w:rPr>
          <w:rFonts w:ascii="Arial" w:cs="Arial" w:eastAsia="Arial" w:hAnsi="Arial"/>
          <w:b w:val="false"/>
          <w:bCs w:val="false"/>
          <w:i w:val="false"/>
          <w:iCs w:val="false"/>
          <w:color w:val="0D1117"/>
          <w:sz w:val="20"/>
          <w:szCs w:val="20"/>
        </w:rPr>
        <w:t xml:space="preserve">Ralph Analytics shall provide the Services as described in Schedule A with reasonable skill and care in accordance with applicable professional standards.</w:t>
      </w:r>
    </w:p>
    <w:p>
      <w:pPr>
        <w:pStyle w:val="Heading2"/>
        <w:spacing w:after="100" w:before="200"/>
      </w:pPr>
      <w:r>
        <w:rPr>
          <w:rFonts w:ascii="Arial" w:cs="Arial" w:eastAsia="Arial" w:hAnsi="Arial"/>
          <w:b/>
          <w:bCs/>
          <w:color w:val="0D1117"/>
          <w:sz w:val="22"/>
          <w:szCs w:val="22"/>
        </w:rPr>
        <w:t xml:space="preserve">2.2  Changes to Scope</w:t>
      </w:r>
    </w:p>
    <w:p>
      <w:pPr>
        <w:spacing w:after="80" w:before="80"/>
        <w:jc w:val="left"/>
      </w:pPr>
      <w:r>
        <w:rPr>
          <w:rFonts w:ascii="Arial" w:cs="Arial" w:eastAsia="Arial" w:hAnsi="Arial"/>
          <w:b w:val="false"/>
          <w:bCs w:val="false"/>
          <w:i w:val="false"/>
          <w:iCs w:val="false"/>
          <w:color w:val="0D1117"/>
          <w:sz w:val="20"/>
          <w:szCs w:val="20"/>
        </w:rPr>
        <w:t xml:space="preserve">Any changes to the scope of Services must be agreed in writing by both Parties. Unauthorised scope changes do not bind Ralph Analytics.</w:t>
      </w:r>
    </w:p>
    <w:p>
      <w:pPr>
        <w:pStyle w:val="Heading2"/>
        <w:spacing w:after="100" w:before="200"/>
      </w:pPr>
      <w:r>
        <w:rPr>
          <w:rFonts w:ascii="Arial" w:cs="Arial" w:eastAsia="Arial" w:hAnsi="Arial"/>
          <w:b/>
          <w:bCs/>
          <w:color w:val="0D1117"/>
          <w:sz w:val="22"/>
          <w:szCs w:val="22"/>
        </w:rPr>
        <w:t xml:space="preserve">2.3  Client Obligations</w:t>
      </w:r>
    </w:p>
    <w:p>
      <w:pPr>
        <w:spacing w:after="80" w:before="80"/>
        <w:jc w:val="left"/>
      </w:pPr>
      <w:r>
        <w:rPr>
          <w:rFonts w:ascii="Arial" w:cs="Arial" w:eastAsia="Arial" w:hAnsi="Arial"/>
          <w:b w:val="false"/>
          <w:bCs w:val="false"/>
          <w:i w:val="false"/>
          <w:iCs w:val="false"/>
          <w:color w:val="0D1117"/>
          <w:sz w:val="20"/>
          <w:szCs w:val="20"/>
        </w:rPr>
        <w:t xml:space="preserve">The Client shall provide Ralph Analytics with timely access to information, personnel, systems, and approvals reasonably required to perform the Services. Delays caused by the Client do not relieve the Client of payment obligations.</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3.  Fees &amp; Payment</w:t>
      </w:r>
    </w:p>
    <w:p>
      <w:pPr>
        <w:pStyle w:val="Heading2"/>
        <w:spacing w:after="100" w:before="200"/>
      </w:pPr>
      <w:r>
        <w:rPr>
          <w:rFonts w:ascii="Arial" w:cs="Arial" w:eastAsia="Arial" w:hAnsi="Arial"/>
          <w:b/>
          <w:bCs/>
          <w:color w:val="0D1117"/>
          <w:sz w:val="22"/>
          <w:szCs w:val="22"/>
        </w:rPr>
        <w:t xml:space="preserve">3.1  Fees</w:t>
      </w:r>
    </w:p>
    <w:p>
      <w:pPr>
        <w:spacing w:after="80" w:before="80"/>
        <w:jc w:val="left"/>
      </w:pPr>
      <w:r>
        <w:rPr>
          <w:rFonts w:ascii="Arial" w:cs="Arial" w:eastAsia="Arial" w:hAnsi="Arial"/>
          <w:b w:val="false"/>
          <w:bCs w:val="false"/>
          <w:i w:val="false"/>
          <w:iCs w:val="false"/>
          <w:color w:val="0D1117"/>
          <w:sz w:val="20"/>
          <w:szCs w:val="20"/>
        </w:rPr>
        <w:t xml:space="preserve">The Client shall pay Ralph Analytics the Fees set out in Schedule A. All amounts are exclusive of VAT unless expressly stated otherwise.</w:t>
      </w:r>
    </w:p>
    <w:p>
      <w:pPr>
        <w:pStyle w:val="Heading2"/>
        <w:spacing w:after="100" w:before="200"/>
      </w:pPr>
      <w:r>
        <w:rPr>
          <w:rFonts w:ascii="Arial" w:cs="Arial" w:eastAsia="Arial" w:hAnsi="Arial"/>
          <w:b/>
          <w:bCs/>
          <w:color w:val="0D1117"/>
          <w:sz w:val="22"/>
          <w:szCs w:val="22"/>
        </w:rPr>
        <w:t xml:space="preserve">3.2  Invoicing &amp; Payment</w:t>
      </w:r>
    </w:p>
    <w:p>
      <w:pPr>
        <w:spacing w:after="80" w:before="80"/>
        <w:jc w:val="left"/>
      </w:pPr>
      <w:r>
        <w:rPr>
          <w:rFonts w:ascii="Arial" w:cs="Arial" w:eastAsia="Arial" w:hAnsi="Arial"/>
          <w:b w:val="false"/>
          <w:bCs w:val="false"/>
          <w:i w:val="false"/>
          <w:iCs w:val="false"/>
          <w:color w:val="0D1117"/>
          <w:sz w:val="20"/>
          <w:szCs w:val="20"/>
        </w:rPr>
        <w:t xml:space="preserve">Invoices are due and payable within [●] days of the invoice date. Overdue amounts bear interest at the prime lending rate plus 2% per annum from the due date.</w:t>
      </w:r>
    </w:p>
    <w:p>
      <w:pPr>
        <w:pStyle w:val="Heading2"/>
        <w:spacing w:after="100" w:before="200"/>
      </w:pPr>
      <w:r>
        <w:rPr>
          <w:rFonts w:ascii="Arial" w:cs="Arial" w:eastAsia="Arial" w:hAnsi="Arial"/>
          <w:b/>
          <w:bCs/>
          <w:color w:val="0D1117"/>
          <w:sz w:val="22"/>
          <w:szCs w:val="22"/>
        </w:rPr>
        <w:t xml:space="preserve">3.3  Expenses</w:t>
      </w:r>
    </w:p>
    <w:p>
      <w:pPr>
        <w:spacing w:after="80" w:before="80"/>
        <w:jc w:val="left"/>
      </w:pPr>
      <w:r>
        <w:rPr>
          <w:rFonts w:ascii="Arial" w:cs="Arial" w:eastAsia="Arial" w:hAnsi="Arial"/>
          <w:b w:val="false"/>
          <w:bCs w:val="false"/>
          <w:i w:val="false"/>
          <w:iCs w:val="false"/>
          <w:color w:val="0D1117"/>
          <w:sz w:val="20"/>
          <w:szCs w:val="20"/>
        </w:rPr>
        <w:t xml:space="preserve">Reasonable pre-approved expenses incurred in performing the Services are reimbursable at cost with supporting receipts.</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4.  Confidentiality</w:t>
      </w:r>
    </w:p>
    <w:p>
      <w:pPr>
        <w:spacing w:after="80" w:before="80"/>
        <w:jc w:val="left"/>
      </w:pPr>
      <w:r>
        <w:rPr>
          <w:rFonts w:ascii="Arial" w:cs="Arial" w:eastAsia="Arial" w:hAnsi="Arial"/>
          <w:b w:val="false"/>
          <w:bCs w:val="false"/>
          <w:i w:val="false"/>
          <w:iCs w:val="false"/>
          <w:color w:val="0D1117"/>
          <w:sz w:val="20"/>
          <w:szCs w:val="20"/>
        </w:rPr>
        <w:t xml:space="preserve">Each Party shall keep the other Party's Confidential Information strictly confidential and not disclose it to any third party without prior written consent, except as required by law. This obligation survives termination for five (5) years.</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5.  Intellectual Property</w:t>
      </w:r>
    </w:p>
    <w:p>
      <w:pPr>
        <w:pStyle w:val="Heading2"/>
        <w:spacing w:after="100" w:before="200"/>
      </w:pPr>
      <w:r>
        <w:rPr>
          <w:rFonts w:ascii="Arial" w:cs="Arial" w:eastAsia="Arial" w:hAnsi="Arial"/>
          <w:b/>
          <w:bCs/>
          <w:color w:val="0D1117"/>
          <w:sz w:val="22"/>
          <w:szCs w:val="22"/>
        </w:rPr>
        <w:t xml:space="preserve">5.1  Client Data</w:t>
      </w:r>
    </w:p>
    <w:p>
      <w:pPr>
        <w:spacing w:after="80" w:before="80"/>
        <w:jc w:val="left"/>
      </w:pPr>
      <w:r>
        <w:rPr>
          <w:rFonts w:ascii="Arial" w:cs="Arial" w:eastAsia="Arial" w:hAnsi="Arial"/>
          <w:b w:val="false"/>
          <w:bCs w:val="false"/>
          <w:i w:val="false"/>
          <w:iCs w:val="false"/>
          <w:color w:val="0D1117"/>
          <w:sz w:val="20"/>
          <w:szCs w:val="20"/>
        </w:rPr>
        <w:t xml:space="preserve">All data, materials, and information provided by the Client remain the property of the Client.</w:t>
      </w:r>
    </w:p>
    <w:p>
      <w:pPr>
        <w:pStyle w:val="Heading2"/>
        <w:spacing w:after="100" w:before="200"/>
      </w:pPr>
      <w:r>
        <w:rPr>
          <w:rFonts w:ascii="Arial" w:cs="Arial" w:eastAsia="Arial" w:hAnsi="Arial"/>
          <w:b/>
          <w:bCs/>
          <w:color w:val="0D1117"/>
          <w:sz w:val="22"/>
          <w:szCs w:val="22"/>
        </w:rPr>
        <w:t xml:space="preserve">5.2  Deliverables</w:t>
      </w:r>
    </w:p>
    <w:p>
      <w:pPr>
        <w:spacing w:after="80" w:before="80"/>
        <w:jc w:val="left"/>
      </w:pPr>
      <w:r>
        <w:rPr>
          <w:rFonts w:ascii="Arial" w:cs="Arial" w:eastAsia="Arial" w:hAnsi="Arial"/>
          <w:b w:val="false"/>
          <w:bCs w:val="false"/>
          <w:i w:val="false"/>
          <w:iCs w:val="false"/>
          <w:color w:val="0D1117"/>
          <w:sz w:val="20"/>
          <w:szCs w:val="20"/>
        </w:rPr>
        <w:t xml:space="preserve">Upon full payment of all Fees, Ralph Analytics assigns to the Client all right, title, and interest in the Deliverables specifically created for the Client, excluding any Background IP.</w:t>
      </w:r>
    </w:p>
    <w:p>
      <w:pPr>
        <w:pStyle w:val="Heading2"/>
        <w:spacing w:after="100" w:before="200"/>
      </w:pPr>
      <w:r>
        <w:rPr>
          <w:rFonts w:ascii="Arial" w:cs="Arial" w:eastAsia="Arial" w:hAnsi="Arial"/>
          <w:b/>
          <w:bCs/>
          <w:color w:val="0D1117"/>
          <w:sz w:val="22"/>
          <w:szCs w:val="22"/>
        </w:rPr>
        <w:t xml:space="preserve">5.3  Background IP</w:t>
      </w:r>
    </w:p>
    <w:p>
      <w:pPr>
        <w:spacing w:after="80" w:before="80"/>
        <w:jc w:val="left"/>
      </w:pPr>
      <w:r>
        <w:rPr>
          <w:rFonts w:ascii="Arial" w:cs="Arial" w:eastAsia="Arial" w:hAnsi="Arial"/>
          <w:b w:val="false"/>
          <w:bCs w:val="false"/>
          <w:i w:val="false"/>
          <w:iCs w:val="false"/>
          <w:color w:val="0D1117"/>
          <w:sz w:val="20"/>
          <w:szCs w:val="20"/>
        </w:rPr>
        <w:t xml:space="preserve">Ralph Analytics retains all rights in its proprietary methodologies, frameworks, tools, models, and pre-existing intellectual property ("Background IP"). The Client receives a non-exclusive, non-transferable licence to use such Background IP solely as embedded in the Deliverables.</w:t>
      </w:r>
    </w:p>
    <w:p>
      <w:pPr>
        <w:pStyle w:val="Heading2"/>
        <w:spacing w:after="100" w:before="200"/>
      </w:pPr>
      <w:r>
        <w:rPr>
          <w:rFonts w:ascii="Arial" w:cs="Arial" w:eastAsia="Arial" w:hAnsi="Arial"/>
          <w:b/>
          <w:bCs/>
          <w:color w:val="0D1117"/>
          <w:sz w:val="22"/>
          <w:szCs w:val="22"/>
        </w:rPr>
        <w:t xml:space="preserve">5.4  AI-Generated Content</w:t>
      </w:r>
    </w:p>
    <w:p>
      <w:pPr>
        <w:spacing w:after="80" w:before="80"/>
        <w:jc w:val="left"/>
      </w:pPr>
      <w:r>
        <w:rPr>
          <w:rFonts w:ascii="Arial" w:cs="Arial" w:eastAsia="Arial" w:hAnsi="Arial"/>
          <w:b w:val="false"/>
          <w:bCs w:val="false"/>
          <w:i w:val="false"/>
          <w:iCs w:val="false"/>
          <w:color w:val="0D1117"/>
          <w:sz w:val="20"/>
          <w:szCs w:val="20"/>
        </w:rPr>
        <w:t xml:space="preserve">Where Deliverables include AI Output, Ralph Analytics warrants that such AI Output has been reviewed and validated by a qualified professional before delivery. AI Output is a tool-assisted work product and not independent professional advice unless expressly confirmed in writing.</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6.  Data Protection</w:t>
      </w:r>
    </w:p>
    <w:p>
      <w:pPr>
        <w:pStyle w:val="Heading2"/>
        <w:spacing w:after="100" w:before="200"/>
      </w:pPr>
      <w:r>
        <w:rPr>
          <w:rFonts w:ascii="Arial" w:cs="Arial" w:eastAsia="Arial" w:hAnsi="Arial"/>
          <w:b/>
          <w:bCs/>
          <w:color w:val="0D1117"/>
          <w:sz w:val="22"/>
          <w:szCs w:val="22"/>
        </w:rPr>
        <w:t xml:space="preserve">6.1  Compliance</w:t>
      </w:r>
    </w:p>
    <w:p>
      <w:pPr>
        <w:spacing w:after="80" w:before="80"/>
        <w:jc w:val="left"/>
      </w:pPr>
      <w:r>
        <w:rPr>
          <w:rFonts w:ascii="Arial" w:cs="Arial" w:eastAsia="Arial" w:hAnsi="Arial"/>
          <w:b w:val="false"/>
          <w:bCs w:val="false"/>
          <w:i w:val="false"/>
          <w:iCs w:val="false"/>
          <w:color w:val="0D1117"/>
          <w:sz w:val="20"/>
          <w:szCs w:val="20"/>
        </w:rPr>
        <w:t xml:space="preserve">Both Parties shall comply with POPIA and, where applicable, GDPR and all other applicable data protection laws.</w:t>
      </w:r>
    </w:p>
    <w:p>
      <w:pPr>
        <w:pStyle w:val="Heading2"/>
        <w:spacing w:after="100" w:before="200"/>
      </w:pPr>
      <w:r>
        <w:rPr>
          <w:rFonts w:ascii="Arial" w:cs="Arial" w:eastAsia="Arial" w:hAnsi="Arial"/>
          <w:b/>
          <w:bCs/>
          <w:color w:val="0D1117"/>
          <w:sz w:val="22"/>
          <w:szCs w:val="22"/>
        </w:rPr>
        <w:t xml:space="preserve">6.2  Information Officer</w:t>
      </w:r>
    </w:p>
    <w:p>
      <w:pPr>
        <w:spacing w:after="80" w:before="80"/>
        <w:jc w:val="left"/>
      </w:pPr>
      <w:r>
        <w:rPr>
          <w:rFonts w:ascii="Arial" w:cs="Arial" w:eastAsia="Arial" w:hAnsi="Arial"/>
          <w:b w:val="false"/>
          <w:bCs w:val="false"/>
          <w:i w:val="false"/>
          <w:iCs w:val="false"/>
          <w:color w:val="0D1117"/>
          <w:sz w:val="20"/>
          <w:szCs w:val="20"/>
        </w:rPr>
        <w:t xml:space="preserve">Ralph Analytics has registered its Information Officer with the Information Regulator of South Africa under POPIA Section 55. POPIA queries may be directed to admin@ralph-analytics.com.</w:t>
      </w:r>
    </w:p>
    <w:p>
      <w:pPr>
        <w:pStyle w:val="Heading2"/>
        <w:spacing w:after="100" w:before="200"/>
      </w:pPr>
      <w:r>
        <w:rPr>
          <w:rFonts w:ascii="Arial" w:cs="Arial" w:eastAsia="Arial" w:hAnsi="Arial"/>
          <w:b/>
          <w:bCs/>
          <w:color w:val="0D1117"/>
          <w:sz w:val="22"/>
          <w:szCs w:val="22"/>
        </w:rPr>
        <w:t xml:space="preserve">6.3  Data Security</w:t>
      </w:r>
    </w:p>
    <w:p>
      <w:pPr>
        <w:spacing w:after="80" w:before="80"/>
        <w:jc w:val="left"/>
      </w:pPr>
      <w:r>
        <w:rPr>
          <w:rFonts w:ascii="Arial" w:cs="Arial" w:eastAsia="Arial" w:hAnsi="Arial"/>
          <w:b w:val="false"/>
          <w:bCs w:val="false"/>
          <w:i w:val="false"/>
          <w:iCs w:val="false"/>
          <w:color w:val="0D1117"/>
          <w:sz w:val="20"/>
          <w:szCs w:val="20"/>
        </w:rPr>
        <w:t xml:space="preserve">Ralph Analytics implements appropriate technical and organisational measures to protect personal data against unauthorised access, loss, or destruction, consistent with POPIA Section 19 obligations.</w:t>
      </w:r>
    </w:p>
    <w:p>
      <w:pPr>
        <w:spacing w:after="0" w:before="60"/>
      </w:pPr>
      <w:r>
        <w:t xml:space="preserve"/>
      </w:r>
    </w:p>
    <w:p>
      <w:r>
        <w:br w:type="page"/>
      </w:r>
    </w:p>
    <w:p>
      <w:pPr>
        <w:spacing w:after="20" w:before="60"/>
        <w:jc w:val="center"/>
      </w:pPr>
      <w:r>
        <w:rPr>
          <w:rFonts w:ascii="Arial" w:cs="Arial" w:eastAsia="Arial" w:hAnsi="Arial"/>
          <w:b/>
          <w:bCs/>
          <w:color w:val="E8521A"/>
          <w:sz w:val="26"/>
          <w:szCs w:val="26"/>
        </w:rPr>
        <w:t xml:space="preserve">— CLAUSE 7: ARTIFICIAL INTELLIGENCE SERVICES —</w:t>
      </w:r>
    </w:p>
    <w:p>
      <w:pPr>
        <w:spacing w:after="80" w:before="0"/>
        <w:jc w:val="center"/>
      </w:pPr>
      <w:r>
        <w:rPr>
          <w:rFonts w:ascii="Arial" w:cs="Arial" w:eastAsia="Arial" w:hAnsi="Arial"/>
          <w:color w:val="666677"/>
          <w:sz w:val="19"/>
          <w:szCs w:val="19"/>
        </w:rPr>
        <w:t xml:space="preserve">This clause governs all use of AI tools in the delivery of Services under this Agreement.</w:t>
      </w:r>
    </w:p>
    <w:p>
      <w:pPr>
        <w:pStyle w:val="Heading1"/>
        <w:spacing w:after="140" w:before="320"/>
      </w:pPr>
      <w:r>
        <w:rPr>
          <w:rFonts w:ascii="Arial" w:cs="Arial" w:eastAsia="Arial" w:hAnsi="Arial"/>
          <w:b/>
          <w:bCs/>
          <w:color w:val="0D1117"/>
          <w:sz w:val="28"/>
          <w:szCs w:val="28"/>
        </w:rPr>
        <w:t xml:space="preserve">7.  Artificial Intelligence Services</w:t>
      </w:r>
    </w:p>
    <w:p>
      <w:pPr>
        <w:pStyle w:val="Heading2"/>
        <w:spacing w:after="100" w:before="200"/>
      </w:pPr>
      <w:r>
        <w:rPr>
          <w:rFonts w:ascii="Arial" w:cs="Arial" w:eastAsia="Arial" w:hAnsi="Arial"/>
          <w:b/>
          <w:bCs/>
          <w:color w:val="0D1117"/>
          <w:sz w:val="22"/>
          <w:szCs w:val="22"/>
        </w:rPr>
        <w:t xml:space="preserve">7.1  Disclosure of AI Use</w:t>
      </w:r>
    </w:p>
    <w:p>
      <w:pPr>
        <w:spacing w:after="80" w:before="80"/>
        <w:jc w:val="left"/>
      </w:pPr>
      <w:r>
        <w:rPr>
          <w:rFonts w:ascii="Arial" w:cs="Arial" w:eastAsia="Arial" w:hAnsi="Arial"/>
          <w:b w:val="false"/>
          <w:bCs w:val="false"/>
          <w:i w:val="false"/>
          <w:iCs w:val="false"/>
          <w:color w:val="0D1117"/>
          <w:sz w:val="20"/>
          <w:szCs w:val="20"/>
        </w:rPr>
        <w:t xml:space="preserve">Ralph Analytics may use artificial intelligence tools, including but not limited to OpenAI GPT-4o, machine learning models, and AI-enabled analytics platforms ("AI Tools"), in delivering the Services. Where AI Tools have been used materially in a Deliverable, Ralph Analytics will disclose this in the relevant work product or upon the Client's written request.</w:t>
      </w:r>
    </w:p>
    <w:p>
      <w:pPr>
        <w:pStyle w:val="Heading2"/>
        <w:spacing w:after="100" w:before="200"/>
      </w:pPr>
      <w:r>
        <w:rPr>
          <w:rFonts w:ascii="Arial" w:cs="Arial" w:eastAsia="Arial" w:hAnsi="Arial"/>
          <w:b/>
          <w:bCs/>
          <w:color w:val="0D1117"/>
          <w:sz w:val="22"/>
          <w:szCs w:val="22"/>
        </w:rPr>
        <w:t xml:space="preserve">7.2  AI Governance Compliance</w:t>
      </w:r>
    </w:p>
    <w:p>
      <w:pPr>
        <w:spacing w:after="80" w:before="80"/>
        <w:jc w:val="left"/>
      </w:pPr>
      <w:r>
        <w:rPr>
          <w:rFonts w:ascii="Arial" w:cs="Arial" w:eastAsia="Arial" w:hAnsi="Arial"/>
          <w:b w:val="false"/>
          <w:bCs w:val="false"/>
          <w:i w:val="false"/>
          <w:iCs w:val="false"/>
          <w:color w:val="0D1117"/>
          <w:sz w:val="20"/>
          <w:szCs w:val="20"/>
        </w:rPr>
        <w:t xml:space="preserve">Ralph Analytics operates under a formal Internal AI Governance &amp; Usage Policy (RA-POL-AI-001) aligned with the EU AI Act, POPIA, GDPR, NIST AI RMF, and ISO/IEC 42001. A copy is available to the Client on written request.</w:t>
      </w:r>
    </w:p>
    <w:p>
      <w:pPr>
        <w:pStyle w:val="Heading2"/>
        <w:spacing w:after="100" w:before="200"/>
      </w:pPr>
      <w:r>
        <w:rPr>
          <w:rFonts w:ascii="Arial" w:cs="Arial" w:eastAsia="Arial" w:hAnsi="Arial"/>
          <w:b/>
          <w:bCs/>
          <w:color w:val="0D1117"/>
          <w:sz w:val="22"/>
          <w:szCs w:val="22"/>
        </w:rPr>
        <w:t xml:space="preserve">7.3  Signed OpenAI Data Processing Agreement</w:t>
      </w:r>
    </w:p>
    <w:p>
      <w:pPr>
        <w:spacing w:after="80" w:before="80"/>
        <w:jc w:val="left"/>
      </w:pPr>
      <w:r>
        <w:rPr>
          <w:rFonts w:ascii="Arial" w:cs="Arial" w:eastAsia="Arial" w:hAnsi="Arial"/>
          <w:b w:val="false"/>
          <w:bCs w:val="false"/>
          <w:i w:val="false"/>
          <w:iCs w:val="false"/>
          <w:color w:val="0D1117"/>
          <w:sz w:val="20"/>
          <w:szCs w:val="20"/>
        </w:rPr>
        <w:t xml:space="preserve">Ralph Analytics has executed a signed Data Processing Agreement (DPA) with OpenAI, Inc. governing all processing of data through the OpenAI API. Key protections include:</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OpenAI acts as Data Processor under instruction from Ralph Analytics as Data Controller</w:t>
      </w:r>
    </w:p>
    <w:p>
      <w:pPr>
        <w:pStyle w:val="ListParagraph"/>
        <w:numPr>
          <w:ilvl w:val="0"/>
          <w:numId w:val="2"/>
        </w:numPr>
        <w:spacing w:after="40" w:before="40"/>
      </w:pPr>
      <w:r>
        <w:rPr>
          <w:rFonts w:ascii="Arial" w:cs="Arial" w:eastAsia="Arial" w:hAnsi="Arial"/>
          <w:color w:val="0D1117"/>
          <w:sz w:val="20"/>
          <w:szCs w:val="20"/>
        </w:rPr>
        <w:t xml:space="preserve">Client data is not used to train OpenAI's models</w:t>
      </w:r>
    </w:p>
    <w:p>
      <w:pPr>
        <w:pStyle w:val="ListParagraph"/>
        <w:numPr>
          <w:ilvl w:val="0"/>
          <w:numId w:val="2"/>
        </w:numPr>
        <w:spacing w:after="40" w:before="40"/>
      </w:pPr>
      <w:r>
        <w:rPr>
          <w:rFonts w:ascii="Arial" w:cs="Arial" w:eastAsia="Arial" w:hAnsi="Arial"/>
          <w:color w:val="0D1117"/>
          <w:sz w:val="20"/>
          <w:szCs w:val="20"/>
        </w:rPr>
        <w:t xml:space="preserve">Enterprise-grade security controls are maintained by OpenAI</w:t>
      </w:r>
    </w:p>
    <w:p>
      <w:pPr>
        <w:pStyle w:val="ListParagraph"/>
        <w:numPr>
          <w:ilvl w:val="0"/>
          <w:numId w:val="2"/>
        </w:numPr>
        <w:spacing w:after="40" w:before="40"/>
      </w:pPr>
      <w:r>
        <w:rPr>
          <w:rFonts w:ascii="Arial" w:cs="Arial" w:eastAsia="Arial" w:hAnsi="Arial"/>
          <w:color w:val="0D1117"/>
          <w:sz w:val="20"/>
          <w:szCs w:val="20"/>
        </w:rPr>
        <w:t xml:space="preserve">Standard Contractual Clauses (SCCs) apply for cross-border transfers outside South Africa</w:t>
      </w:r>
    </w:p>
    <w:p>
      <w:pPr>
        <w:pStyle w:val="ListParagraph"/>
        <w:numPr>
          <w:ilvl w:val="0"/>
          <w:numId w:val="2"/>
        </w:numPr>
        <w:spacing w:after="40" w:before="40"/>
      </w:pPr>
      <w:r>
        <w:rPr>
          <w:rFonts w:ascii="Arial" w:cs="Arial" w:eastAsia="Arial" w:hAnsi="Arial"/>
          <w:color w:val="0D1117"/>
          <w:sz w:val="20"/>
          <w:szCs w:val="20"/>
        </w:rPr>
        <w:t xml:space="preserve">Data retention limits are defined and enforced per the DPA terms</w:t>
      </w:r>
    </w:p>
    <w:p>
      <w:pPr>
        <w:spacing w:after="0" w:before="40"/>
      </w:pPr>
      <w:r>
        <w:t xml:space="preserve"/>
      </w:r>
    </w:p>
    <w:p>
      <w:pPr>
        <w:spacing w:after="80" w:before="80"/>
        <w:jc w:val="left"/>
      </w:pPr>
      <w:r>
        <w:rPr>
          <w:rFonts w:ascii="Arial" w:cs="Arial" w:eastAsia="Arial" w:hAnsi="Arial"/>
          <w:b w:val="false"/>
          <w:bCs w:val="false"/>
          <w:i w:val="false"/>
          <w:iCs w:val="false"/>
          <w:color w:val="0D1117"/>
          <w:sz w:val="20"/>
          <w:szCs w:val="20"/>
        </w:rPr>
        <w:t xml:space="preserve">The signed OpenAI DPA satisfies POPIA Section 72 and GDPR Article 46 requirements. A copy is available to the Client on written request.</w:t>
      </w:r>
    </w:p>
    <w:p>
      <w:pPr>
        <w:pStyle w:val="Heading2"/>
        <w:spacing w:after="100" w:before="200"/>
      </w:pPr>
      <w:r>
        <w:rPr>
          <w:rFonts w:ascii="Arial" w:cs="Arial" w:eastAsia="Arial" w:hAnsi="Arial"/>
          <w:b/>
          <w:bCs/>
          <w:color w:val="0D1117"/>
          <w:sz w:val="22"/>
          <w:szCs w:val="22"/>
        </w:rPr>
        <w:t xml:space="preserve">7.4  Data Protection in AI Processing</w:t>
      </w:r>
    </w:p>
    <w:p>
      <w:pPr>
        <w:spacing w:after="80" w:before="80"/>
        <w:jc w:val="left"/>
      </w:pPr>
      <w:r>
        <w:rPr>
          <w:rFonts w:ascii="Arial" w:cs="Arial" w:eastAsia="Arial" w:hAnsi="Arial"/>
          <w:b w:val="false"/>
          <w:bCs w:val="false"/>
          <w:i w:val="false"/>
          <w:iCs w:val="false"/>
          <w:color w:val="0D1117"/>
          <w:sz w:val="20"/>
          <w:szCs w:val="20"/>
        </w:rPr>
        <w:t xml:space="preserve">Ralph Analytics shall not input the following Client data categories into any AI Tool without prior written Client consent and appropriate data protection safeguards:</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Personal data / PII of identifiable individuals</w:t>
      </w:r>
    </w:p>
    <w:p>
      <w:pPr>
        <w:pStyle w:val="ListParagraph"/>
        <w:numPr>
          <w:ilvl w:val="0"/>
          <w:numId w:val="2"/>
        </w:numPr>
        <w:spacing w:after="40" w:before="40"/>
      </w:pPr>
      <w:r>
        <w:rPr>
          <w:rFonts w:ascii="Arial" w:cs="Arial" w:eastAsia="Arial" w:hAnsi="Arial"/>
          <w:color w:val="0D1117"/>
          <w:sz w:val="20"/>
          <w:szCs w:val="20"/>
        </w:rPr>
        <w:t xml:space="preserve">Client confidential or trade secret information</w:t>
      </w:r>
    </w:p>
    <w:p>
      <w:pPr>
        <w:pStyle w:val="ListParagraph"/>
        <w:numPr>
          <w:ilvl w:val="0"/>
          <w:numId w:val="2"/>
        </w:numPr>
        <w:spacing w:after="40" w:before="40"/>
      </w:pPr>
      <w:r>
        <w:rPr>
          <w:rFonts w:ascii="Arial" w:cs="Arial" w:eastAsia="Arial" w:hAnsi="Arial"/>
          <w:color w:val="0D1117"/>
          <w:sz w:val="20"/>
          <w:szCs w:val="20"/>
        </w:rPr>
        <w:t xml:space="preserve">Financial, legally privileged, or regulated data</w:t>
      </w:r>
    </w:p>
    <w:p>
      <w:pPr>
        <w:pStyle w:val="ListParagraph"/>
        <w:numPr>
          <w:ilvl w:val="0"/>
          <w:numId w:val="2"/>
        </w:numPr>
        <w:spacing w:after="40" w:before="40"/>
      </w:pPr>
      <w:r>
        <w:rPr>
          <w:rFonts w:ascii="Arial" w:cs="Arial" w:eastAsia="Arial" w:hAnsi="Arial"/>
          <w:color w:val="0D1117"/>
          <w:sz w:val="20"/>
          <w:szCs w:val="20"/>
        </w:rPr>
        <w:t xml:space="preserve">Health, biometric, or special category personal data</w:t>
      </w:r>
    </w:p>
    <w:p>
      <w:pPr>
        <w:spacing w:after="0" w:before="40"/>
      </w:pPr>
      <w:r>
        <w:t xml:space="preserve"/>
      </w:r>
    </w:p>
    <w:p>
      <w:pPr>
        <w:spacing w:after="80" w:before="80"/>
        <w:jc w:val="left"/>
      </w:pPr>
      <w:r>
        <w:rPr>
          <w:rFonts w:ascii="Arial" w:cs="Arial" w:eastAsia="Arial" w:hAnsi="Arial"/>
          <w:b w:val="false"/>
          <w:bCs w:val="false"/>
          <w:i w:val="false"/>
          <w:iCs w:val="false"/>
          <w:color w:val="0D1117"/>
          <w:sz w:val="20"/>
          <w:szCs w:val="20"/>
        </w:rPr>
        <w:t xml:space="preserve">Where the Client wishes to engage Ralph Analytics for AI-assisted processing of personal data, the Parties shall execute a separate Data Processing Schedule defining scope, purpose, and safeguards.</w:t>
      </w:r>
    </w:p>
    <w:p>
      <w:pPr>
        <w:pStyle w:val="Heading2"/>
        <w:spacing w:after="100" w:before="200"/>
      </w:pPr>
      <w:r>
        <w:rPr>
          <w:rFonts w:ascii="Arial" w:cs="Arial" w:eastAsia="Arial" w:hAnsi="Arial"/>
          <w:b/>
          <w:bCs/>
          <w:color w:val="0D1117"/>
          <w:sz w:val="22"/>
          <w:szCs w:val="22"/>
        </w:rPr>
        <w:t xml:space="preserve">7.5  Human Oversight &amp; Review</w:t>
      </w:r>
    </w:p>
    <w:p>
      <w:pPr>
        <w:spacing w:after="80" w:before="80"/>
        <w:jc w:val="left"/>
      </w:pPr>
      <w:r>
        <w:rPr>
          <w:rFonts w:ascii="Arial" w:cs="Arial" w:eastAsia="Arial" w:hAnsi="Arial"/>
          <w:b w:val="false"/>
          <w:bCs w:val="false"/>
          <w:i w:val="false"/>
          <w:iCs w:val="false"/>
          <w:color w:val="0D1117"/>
          <w:sz w:val="20"/>
          <w:szCs w:val="20"/>
        </w:rPr>
        <w:t xml:space="preserve">All AI Output included in Deliverables shall be reviewed, validated, and approved by a qualified Ralph Analytics professional before delivery to the Client. AI Output does not constitute independent legal, financial, medical, or regulatory advice unless expressly confirmed in writing by a qualified person. The Client remains responsible for all decisions taken on the basis of Deliverables.</w:t>
      </w:r>
    </w:p>
    <w:p>
      <w:pPr>
        <w:pStyle w:val="Heading2"/>
        <w:spacing w:after="100" w:before="200"/>
      </w:pPr>
      <w:r>
        <w:rPr>
          <w:rFonts w:ascii="Arial" w:cs="Arial" w:eastAsia="Arial" w:hAnsi="Arial"/>
          <w:b/>
          <w:bCs/>
          <w:color w:val="0D1117"/>
          <w:sz w:val="22"/>
          <w:szCs w:val="22"/>
        </w:rPr>
        <w:t xml:space="preserve">7.6  AI Risk Classification</w:t>
      </w:r>
    </w:p>
    <w:p>
      <w:pPr>
        <w:spacing w:after="80" w:before="80"/>
        <w:jc w:val="left"/>
      </w:pPr>
      <w:r>
        <w:rPr>
          <w:rFonts w:ascii="Arial" w:cs="Arial" w:eastAsia="Arial" w:hAnsi="Arial"/>
          <w:b w:val="false"/>
          <w:bCs w:val="false"/>
          <w:i w:val="false"/>
          <w:iCs w:val="false"/>
          <w:color w:val="0D1117"/>
          <w:sz w:val="20"/>
          <w:szCs w:val="20"/>
        </w:rPr>
        <w:t xml:space="preserve">Ralph Analytics classifies AI use cases per the EU AI Act risk framework. Where Services involve High-Risk AI applications (EU AI Act Annex III), Ralph Analytics will:</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Notify the Client in writing prior to deploying High-Risk AI tools</w:t>
      </w:r>
    </w:p>
    <w:p>
      <w:pPr>
        <w:pStyle w:val="ListParagraph"/>
        <w:numPr>
          <w:ilvl w:val="0"/>
          <w:numId w:val="2"/>
        </w:numPr>
        <w:spacing w:after="40" w:before="40"/>
      </w:pPr>
      <w:r>
        <w:rPr>
          <w:rFonts w:ascii="Arial" w:cs="Arial" w:eastAsia="Arial" w:hAnsi="Arial"/>
          <w:color w:val="0D1117"/>
          <w:sz w:val="20"/>
          <w:szCs w:val="20"/>
        </w:rPr>
        <w:t xml:space="preserve">Provide relevant risk documentation and AI Impact Assessments on request</w:t>
      </w:r>
    </w:p>
    <w:p>
      <w:pPr>
        <w:pStyle w:val="ListParagraph"/>
        <w:numPr>
          <w:ilvl w:val="0"/>
          <w:numId w:val="2"/>
        </w:numPr>
        <w:spacing w:after="40" w:before="40"/>
      </w:pPr>
      <w:r>
        <w:rPr>
          <w:rFonts w:ascii="Arial" w:cs="Arial" w:eastAsia="Arial" w:hAnsi="Arial"/>
          <w:color w:val="0D1117"/>
          <w:sz w:val="20"/>
          <w:szCs w:val="20"/>
        </w:rPr>
        <w:t xml:space="preserve">Ensure human oversight mechanisms are active throughout delivery</w:t>
      </w:r>
    </w:p>
    <w:p>
      <w:pPr>
        <w:pStyle w:val="Heading2"/>
        <w:spacing w:after="100" w:before="200"/>
      </w:pPr>
      <w:r>
        <w:rPr>
          <w:rFonts w:ascii="Arial" w:cs="Arial" w:eastAsia="Arial" w:hAnsi="Arial"/>
          <w:b/>
          <w:bCs/>
          <w:color w:val="0D1117"/>
          <w:sz w:val="22"/>
          <w:szCs w:val="22"/>
        </w:rPr>
        <w:t xml:space="preserve">7.7  Accuracy &amp; Limitations</w:t>
      </w:r>
    </w:p>
    <w:p>
      <w:pPr>
        <w:spacing w:after="80" w:before="80"/>
        <w:jc w:val="left"/>
      </w:pPr>
      <w:r>
        <w:rPr>
          <w:rFonts w:ascii="Arial" w:cs="Arial" w:eastAsia="Arial" w:hAnsi="Arial"/>
          <w:b w:val="false"/>
          <w:bCs w:val="false"/>
          <w:i w:val="false"/>
          <w:iCs w:val="false"/>
          <w:color w:val="0D1117"/>
          <w:sz w:val="20"/>
          <w:szCs w:val="20"/>
        </w:rPr>
        <w:t xml:space="preserve">The Client acknowledges that:</w:t>
      </w:r>
    </w:p>
    <w:p>
      <w:pPr>
        <w:spacing w:after="0" w:before="40"/>
      </w:pPr>
      <w:r>
        <w:t xml:space="preserve"/>
      </w:r>
    </w:p>
    <w:p>
      <w:pPr>
        <w:pStyle w:val="ListParagraph"/>
        <w:numPr>
          <w:ilvl w:val="0"/>
          <w:numId w:val="2"/>
        </w:numPr>
        <w:spacing w:after="40" w:before="40"/>
      </w:pPr>
      <w:r>
        <w:rPr>
          <w:rFonts w:ascii="Arial" w:cs="Arial" w:eastAsia="Arial" w:hAnsi="Arial"/>
          <w:color w:val="0D1117"/>
          <w:sz w:val="20"/>
          <w:szCs w:val="20"/>
        </w:rPr>
        <w:t xml:space="preserve">AI Tools may produce outputs that are inaccurate, incomplete, or require professional interpretation</w:t>
      </w:r>
    </w:p>
    <w:p>
      <w:pPr>
        <w:pStyle w:val="ListParagraph"/>
        <w:numPr>
          <w:ilvl w:val="0"/>
          <w:numId w:val="2"/>
        </w:numPr>
        <w:spacing w:after="40" w:before="40"/>
      </w:pPr>
      <w:r>
        <w:rPr>
          <w:rFonts w:ascii="Arial" w:cs="Arial" w:eastAsia="Arial" w:hAnsi="Arial"/>
          <w:color w:val="0D1117"/>
          <w:sz w:val="20"/>
          <w:szCs w:val="20"/>
        </w:rPr>
        <w:t xml:space="preserve">Ralph Analytics does not warrant that AI Output is error-free or exhaustive</w:t>
      </w:r>
    </w:p>
    <w:p>
      <w:pPr>
        <w:pStyle w:val="ListParagraph"/>
        <w:numPr>
          <w:ilvl w:val="0"/>
          <w:numId w:val="2"/>
        </w:numPr>
        <w:spacing w:after="40" w:before="40"/>
      </w:pPr>
      <w:r>
        <w:rPr>
          <w:rFonts w:ascii="Arial" w:cs="Arial" w:eastAsia="Arial" w:hAnsi="Arial"/>
          <w:color w:val="0D1117"/>
          <w:sz w:val="20"/>
          <w:szCs w:val="20"/>
        </w:rPr>
        <w:t xml:space="preserve">The Client must independently verify material facts, figures, or recommendations before relying on them for decisions</w:t>
      </w:r>
    </w:p>
    <w:p>
      <w:pPr>
        <w:pStyle w:val="Heading2"/>
        <w:spacing w:after="100" w:before="200"/>
      </w:pPr>
      <w:r>
        <w:rPr>
          <w:rFonts w:ascii="Arial" w:cs="Arial" w:eastAsia="Arial" w:hAnsi="Arial"/>
          <w:b/>
          <w:bCs/>
          <w:color w:val="0D1117"/>
          <w:sz w:val="22"/>
          <w:szCs w:val="22"/>
        </w:rPr>
        <w:t xml:space="preserve">7.8  Intellectual Property in AI Output</w:t>
      </w:r>
    </w:p>
    <w:p>
      <w:pPr>
        <w:spacing w:after="80" w:before="80"/>
        <w:jc w:val="left"/>
      </w:pPr>
      <w:r>
        <w:rPr>
          <w:rFonts w:ascii="Arial" w:cs="Arial" w:eastAsia="Arial" w:hAnsi="Arial"/>
          <w:b w:val="false"/>
          <w:bCs w:val="false"/>
          <w:i w:val="false"/>
          <w:iCs w:val="false"/>
          <w:color w:val="0D1117"/>
          <w:sz w:val="20"/>
          <w:szCs w:val="20"/>
        </w:rPr>
        <w:t xml:space="preserve">To the extent that AI Output incorporated in Deliverables is capable of copyright protection, Ralph Analytics assigns any such rights to the Client upon full payment of Fees, on the same basis as Clause 5.2. Ralph Analytics warrants that it has the right to use all AI Tools employed in delivering the Services.</w:t>
      </w:r>
    </w:p>
    <w:p>
      <w:pPr>
        <w:pStyle w:val="Heading2"/>
        <w:spacing w:after="100" w:before="200"/>
      </w:pPr>
      <w:r>
        <w:rPr>
          <w:rFonts w:ascii="Arial" w:cs="Arial" w:eastAsia="Arial" w:hAnsi="Arial"/>
          <w:b/>
          <w:bCs/>
          <w:color w:val="0D1117"/>
          <w:sz w:val="22"/>
          <w:szCs w:val="22"/>
        </w:rPr>
        <w:t xml:space="preserve">7.9  AI Tool Changes</w:t>
      </w:r>
    </w:p>
    <w:p>
      <w:pPr>
        <w:spacing w:after="80" w:before="80"/>
        <w:jc w:val="left"/>
      </w:pPr>
      <w:r>
        <w:rPr>
          <w:rFonts w:ascii="Arial" w:cs="Arial" w:eastAsia="Arial" w:hAnsi="Arial"/>
          <w:b w:val="false"/>
          <w:bCs w:val="false"/>
          <w:i w:val="false"/>
          <w:iCs w:val="false"/>
          <w:color w:val="0D1117"/>
          <w:sz w:val="20"/>
          <w:szCs w:val="20"/>
        </w:rPr>
        <w:t xml:space="preserve">Ralph Analytics may change or update AI Tools used in delivering the Services provided that: (i) the change does not materially reduce Deliverable quality; (ii) the Client is notified where the change affects data processing arrangements; and (iii) applicable data protection obligations continue to be met.</w:t>
      </w:r>
    </w:p>
    <w:p>
      <w:pPr>
        <w:pStyle w:val="Heading2"/>
        <w:spacing w:after="100" w:before="200"/>
      </w:pPr>
      <w:r>
        <w:rPr>
          <w:rFonts w:ascii="Arial" w:cs="Arial" w:eastAsia="Arial" w:hAnsi="Arial"/>
          <w:b/>
          <w:bCs/>
          <w:color w:val="0D1117"/>
          <w:sz w:val="22"/>
          <w:szCs w:val="22"/>
        </w:rPr>
        <w:t xml:space="preserve">7.10  Client's Own AI Use</w:t>
      </w:r>
    </w:p>
    <w:p>
      <w:pPr>
        <w:spacing w:after="80" w:before="80"/>
        <w:jc w:val="left"/>
      </w:pPr>
      <w:r>
        <w:rPr>
          <w:rFonts w:ascii="Arial" w:cs="Arial" w:eastAsia="Arial" w:hAnsi="Arial"/>
          <w:b w:val="false"/>
          <w:bCs w:val="false"/>
          <w:i w:val="false"/>
          <w:iCs w:val="false"/>
          <w:color w:val="0D1117"/>
          <w:sz w:val="20"/>
          <w:szCs w:val="20"/>
        </w:rPr>
        <w:t xml:space="preserve">If the Client uses AI Tools to process Deliverables or data received from Ralph Analytics, the Client does so at its own risk and is solely responsible for compliance with applicable laws. Ralph Analytics provides no warranty as to the suitability of Deliverables for processing by third-party AI tools.</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8.  Liability &amp; Indemnity</w:t>
      </w:r>
    </w:p>
    <w:p>
      <w:pPr>
        <w:pStyle w:val="Heading2"/>
        <w:spacing w:after="100" w:before="200"/>
      </w:pPr>
      <w:r>
        <w:rPr>
          <w:rFonts w:ascii="Arial" w:cs="Arial" w:eastAsia="Arial" w:hAnsi="Arial"/>
          <w:b/>
          <w:bCs/>
          <w:color w:val="0D1117"/>
          <w:sz w:val="22"/>
          <w:szCs w:val="22"/>
        </w:rPr>
        <w:t xml:space="preserve">8.1  Limitation of Liability</w:t>
      </w:r>
    </w:p>
    <w:p>
      <w:pPr>
        <w:spacing w:after="80" w:before="80"/>
        <w:jc w:val="left"/>
      </w:pPr>
      <w:r>
        <w:rPr>
          <w:rFonts w:ascii="Arial" w:cs="Arial" w:eastAsia="Arial" w:hAnsi="Arial"/>
          <w:b w:val="false"/>
          <w:bCs w:val="false"/>
          <w:i w:val="false"/>
          <w:iCs w:val="false"/>
          <w:color w:val="0D1117"/>
          <w:sz w:val="20"/>
          <w:szCs w:val="20"/>
        </w:rPr>
        <w:t xml:space="preserve">To the fullest extent permitted by law, Ralph Analytics' total aggregate liability shall not exceed the total Fees paid by the Client in the three (3) months immediately preceding the event giving rise to the claim.</w:t>
      </w:r>
    </w:p>
    <w:p>
      <w:pPr>
        <w:pStyle w:val="Heading2"/>
        <w:spacing w:after="100" w:before="200"/>
      </w:pPr>
      <w:r>
        <w:rPr>
          <w:rFonts w:ascii="Arial" w:cs="Arial" w:eastAsia="Arial" w:hAnsi="Arial"/>
          <w:b/>
          <w:bCs/>
          <w:color w:val="0D1117"/>
          <w:sz w:val="22"/>
          <w:szCs w:val="22"/>
        </w:rPr>
        <w:t xml:space="preserve">8.2  Exclusions</w:t>
      </w:r>
    </w:p>
    <w:p>
      <w:pPr>
        <w:spacing w:after="80" w:before="80"/>
        <w:jc w:val="left"/>
      </w:pPr>
      <w:r>
        <w:rPr>
          <w:rFonts w:ascii="Arial" w:cs="Arial" w:eastAsia="Arial" w:hAnsi="Arial"/>
          <w:b w:val="false"/>
          <w:bCs w:val="false"/>
          <w:i w:val="false"/>
          <w:iCs w:val="false"/>
          <w:color w:val="0D1117"/>
          <w:sz w:val="20"/>
          <w:szCs w:val="20"/>
        </w:rPr>
        <w:t xml:space="preserve">Neither Party shall be liable for indirect, consequential, special, or punitive losses, loss of profits, or loss of data arising under this Agreement.</w:t>
      </w:r>
    </w:p>
    <w:p>
      <w:pPr>
        <w:pStyle w:val="Heading2"/>
        <w:spacing w:after="100" w:before="200"/>
      </w:pPr>
      <w:r>
        <w:rPr>
          <w:rFonts w:ascii="Arial" w:cs="Arial" w:eastAsia="Arial" w:hAnsi="Arial"/>
          <w:b/>
          <w:bCs/>
          <w:color w:val="0D1117"/>
          <w:sz w:val="22"/>
          <w:szCs w:val="22"/>
        </w:rPr>
        <w:t xml:space="preserve">8.3  AI Output Liability</w:t>
      </w:r>
    </w:p>
    <w:p>
      <w:pPr>
        <w:spacing w:after="80" w:before="80"/>
        <w:jc w:val="left"/>
      </w:pPr>
      <w:r>
        <w:rPr>
          <w:rFonts w:ascii="Arial" w:cs="Arial" w:eastAsia="Arial" w:hAnsi="Arial"/>
          <w:b w:val="false"/>
          <w:bCs w:val="false"/>
          <w:i w:val="false"/>
          <w:iCs w:val="false"/>
          <w:color w:val="0D1117"/>
          <w:sz w:val="20"/>
          <w:szCs w:val="20"/>
        </w:rPr>
        <w:t xml:space="preserve">Ralph Analytics' liability in respect of AI Output is limited to re-performing the relevant review and validation process. The Client assumes all risk in respect of decisions taken based on AI Output altered or acted upon without independent verification.</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9.  Term &amp; Termination</w:t>
      </w:r>
    </w:p>
    <w:p>
      <w:pPr>
        <w:pStyle w:val="Heading2"/>
        <w:spacing w:after="100" w:before="200"/>
      </w:pPr>
      <w:r>
        <w:rPr>
          <w:rFonts w:ascii="Arial" w:cs="Arial" w:eastAsia="Arial" w:hAnsi="Arial"/>
          <w:b/>
          <w:bCs/>
          <w:color w:val="0D1117"/>
          <w:sz w:val="22"/>
          <w:szCs w:val="22"/>
        </w:rPr>
        <w:t xml:space="preserve">9.1  Term</w:t>
      </w:r>
    </w:p>
    <w:p>
      <w:pPr>
        <w:spacing w:after="80" w:before="80"/>
        <w:jc w:val="left"/>
      </w:pPr>
      <w:r>
        <w:rPr>
          <w:rFonts w:ascii="Arial" w:cs="Arial" w:eastAsia="Arial" w:hAnsi="Arial"/>
          <w:b w:val="false"/>
          <w:bCs w:val="false"/>
          <w:i w:val="false"/>
          <w:iCs w:val="false"/>
          <w:color w:val="0D1117"/>
          <w:sz w:val="20"/>
          <w:szCs w:val="20"/>
        </w:rPr>
        <w:t xml:space="preserve">This Agreement commences on the Agreement Date and continues until completion of the Services, unless terminated earlier.</w:t>
      </w:r>
    </w:p>
    <w:p>
      <w:pPr>
        <w:pStyle w:val="Heading2"/>
        <w:spacing w:after="100" w:before="200"/>
      </w:pPr>
      <w:r>
        <w:rPr>
          <w:rFonts w:ascii="Arial" w:cs="Arial" w:eastAsia="Arial" w:hAnsi="Arial"/>
          <w:b/>
          <w:bCs/>
          <w:color w:val="0D1117"/>
          <w:sz w:val="22"/>
          <w:szCs w:val="22"/>
        </w:rPr>
        <w:t xml:space="preserve">9.2  Termination for Convenience</w:t>
      </w:r>
    </w:p>
    <w:p>
      <w:pPr>
        <w:spacing w:after="80" w:before="80"/>
        <w:jc w:val="left"/>
      </w:pPr>
      <w:r>
        <w:rPr>
          <w:rFonts w:ascii="Arial" w:cs="Arial" w:eastAsia="Arial" w:hAnsi="Arial"/>
          <w:b w:val="false"/>
          <w:bCs w:val="false"/>
          <w:i w:val="false"/>
          <w:iCs w:val="false"/>
          <w:color w:val="0D1117"/>
          <w:sz w:val="20"/>
          <w:szCs w:val="20"/>
        </w:rPr>
        <w:t xml:space="preserve">Either Party may terminate on [●] days' written notice. The Client shall pay for all Services performed up to the effective date of termination.</w:t>
      </w:r>
    </w:p>
    <w:p>
      <w:pPr>
        <w:pStyle w:val="Heading2"/>
        <w:spacing w:after="100" w:before="200"/>
      </w:pPr>
      <w:r>
        <w:rPr>
          <w:rFonts w:ascii="Arial" w:cs="Arial" w:eastAsia="Arial" w:hAnsi="Arial"/>
          <w:b/>
          <w:bCs/>
          <w:color w:val="0D1117"/>
          <w:sz w:val="22"/>
          <w:szCs w:val="22"/>
        </w:rPr>
        <w:t xml:space="preserve">9.3  Termination for Cause</w:t>
      </w:r>
    </w:p>
    <w:p>
      <w:pPr>
        <w:spacing w:after="80" w:before="80"/>
        <w:jc w:val="left"/>
      </w:pPr>
      <w:r>
        <w:rPr>
          <w:rFonts w:ascii="Arial" w:cs="Arial" w:eastAsia="Arial" w:hAnsi="Arial"/>
          <w:b w:val="false"/>
          <w:bCs w:val="false"/>
          <w:i w:val="false"/>
          <w:iCs w:val="false"/>
          <w:color w:val="0D1117"/>
          <w:sz w:val="20"/>
          <w:szCs w:val="20"/>
        </w:rPr>
        <w:t xml:space="preserve">Either Party may terminate immediately on written notice if the other Party commits a material breach unremedied within 14 days of notice, becomes insolvent, or is placed under liquidation or business rescue.</w:t>
      </w:r>
    </w:p>
    <w:p>
      <w:pPr>
        <w:spacing w:after="0" w:before="60"/>
      </w:pPr>
      <w:r>
        <w:t xml:space="preserve"/>
      </w:r>
    </w:p>
    <w:p>
      <w:pPr>
        <w:pStyle w:val="Heading1"/>
        <w:spacing w:after="140" w:before="320"/>
      </w:pPr>
      <w:r>
        <w:rPr>
          <w:rFonts w:ascii="Arial" w:cs="Arial" w:eastAsia="Arial" w:hAnsi="Arial"/>
          <w:b/>
          <w:bCs/>
          <w:color w:val="0D1117"/>
          <w:sz w:val="28"/>
          <w:szCs w:val="28"/>
        </w:rPr>
        <w:t xml:space="preserve">10.  General Provisions</w:t>
      </w:r>
    </w:p>
    <w:p>
      <w:pPr>
        <w:pStyle w:val="Heading2"/>
        <w:spacing w:after="100" w:before="200"/>
      </w:pPr>
      <w:r>
        <w:rPr>
          <w:rFonts w:ascii="Arial" w:cs="Arial" w:eastAsia="Arial" w:hAnsi="Arial"/>
          <w:b/>
          <w:bCs/>
          <w:color w:val="0D1117"/>
          <w:sz w:val="22"/>
          <w:szCs w:val="22"/>
        </w:rPr>
        <w:t xml:space="preserve">10.1  Governing Law</w:t>
      </w:r>
    </w:p>
    <w:p>
      <w:pPr>
        <w:spacing w:after="80" w:before="80"/>
        <w:jc w:val="left"/>
      </w:pPr>
      <w:r>
        <w:rPr>
          <w:rFonts w:ascii="Arial" w:cs="Arial" w:eastAsia="Arial" w:hAnsi="Arial"/>
          <w:b w:val="false"/>
          <w:bCs w:val="false"/>
          <w:i w:val="false"/>
          <w:iCs w:val="false"/>
          <w:color w:val="0D1117"/>
          <w:sz w:val="20"/>
          <w:szCs w:val="20"/>
        </w:rPr>
        <w:t xml:space="preserve">This Agreement is governed by the laws of the Republic of South Africa. The Parties submit to the non-exclusive jurisdiction of the South African courts.</w:t>
      </w:r>
    </w:p>
    <w:p>
      <w:pPr>
        <w:pStyle w:val="Heading2"/>
        <w:spacing w:after="100" w:before="200"/>
      </w:pPr>
      <w:r>
        <w:rPr>
          <w:rFonts w:ascii="Arial" w:cs="Arial" w:eastAsia="Arial" w:hAnsi="Arial"/>
          <w:b/>
          <w:bCs/>
          <w:color w:val="0D1117"/>
          <w:sz w:val="22"/>
          <w:szCs w:val="22"/>
        </w:rPr>
        <w:t xml:space="preserve">10.2  Dispute Resolution</w:t>
      </w:r>
    </w:p>
    <w:p>
      <w:pPr>
        <w:spacing w:after="80" w:before="80"/>
        <w:jc w:val="left"/>
      </w:pPr>
      <w:r>
        <w:rPr>
          <w:rFonts w:ascii="Arial" w:cs="Arial" w:eastAsia="Arial" w:hAnsi="Arial"/>
          <w:b w:val="false"/>
          <w:bCs w:val="false"/>
          <w:i w:val="false"/>
          <w:iCs w:val="false"/>
          <w:color w:val="0D1117"/>
          <w:sz w:val="20"/>
          <w:szCs w:val="20"/>
        </w:rPr>
        <w:t xml:space="preserve">The Parties shall attempt to resolve disputes through good faith negotiation. If unresolved within 30 days, disputes shall be referred to mediation before either Party may institute legal proceedings.</w:t>
      </w:r>
    </w:p>
    <w:p>
      <w:pPr>
        <w:pStyle w:val="Heading2"/>
        <w:spacing w:after="100" w:before="200"/>
      </w:pPr>
      <w:r>
        <w:rPr>
          <w:rFonts w:ascii="Arial" w:cs="Arial" w:eastAsia="Arial" w:hAnsi="Arial"/>
          <w:b/>
          <w:bCs/>
          <w:color w:val="0D1117"/>
          <w:sz w:val="22"/>
          <w:szCs w:val="22"/>
        </w:rPr>
        <w:t xml:space="preserve">10.3  Entire Agreement</w:t>
      </w:r>
    </w:p>
    <w:p>
      <w:pPr>
        <w:spacing w:after="80" w:before="80"/>
        <w:jc w:val="left"/>
      </w:pPr>
      <w:r>
        <w:rPr>
          <w:rFonts w:ascii="Arial" w:cs="Arial" w:eastAsia="Arial" w:hAnsi="Arial"/>
          <w:b w:val="false"/>
          <w:bCs w:val="false"/>
          <w:i w:val="false"/>
          <w:iCs w:val="false"/>
          <w:color w:val="0D1117"/>
          <w:sz w:val="20"/>
          <w:szCs w:val="20"/>
        </w:rPr>
        <w:t xml:space="preserve">This Agreement (together with its Schedules) constitutes the entire agreement between the Parties and supersedes all prior representations, discussions, and agreements.</w:t>
      </w:r>
    </w:p>
    <w:p>
      <w:pPr>
        <w:pStyle w:val="Heading2"/>
        <w:spacing w:after="100" w:before="200"/>
      </w:pPr>
      <w:r>
        <w:rPr>
          <w:rFonts w:ascii="Arial" w:cs="Arial" w:eastAsia="Arial" w:hAnsi="Arial"/>
          <w:b/>
          <w:bCs/>
          <w:color w:val="0D1117"/>
          <w:sz w:val="22"/>
          <w:szCs w:val="22"/>
        </w:rPr>
        <w:t xml:space="preserve">10.4  Amendments</w:t>
      </w:r>
    </w:p>
    <w:p>
      <w:pPr>
        <w:spacing w:after="80" w:before="80"/>
        <w:jc w:val="left"/>
      </w:pPr>
      <w:r>
        <w:rPr>
          <w:rFonts w:ascii="Arial" w:cs="Arial" w:eastAsia="Arial" w:hAnsi="Arial"/>
          <w:b w:val="false"/>
          <w:bCs w:val="false"/>
          <w:i w:val="false"/>
          <w:iCs w:val="false"/>
          <w:color w:val="0D1117"/>
          <w:sz w:val="20"/>
          <w:szCs w:val="20"/>
        </w:rPr>
        <w:t xml:space="preserve">No amendment is valid unless in writing and signed by authorised representatives of both Parties.</w:t>
      </w:r>
    </w:p>
    <w:p>
      <w:pPr>
        <w:pStyle w:val="Heading2"/>
        <w:spacing w:after="100" w:before="200"/>
      </w:pPr>
      <w:r>
        <w:rPr>
          <w:rFonts w:ascii="Arial" w:cs="Arial" w:eastAsia="Arial" w:hAnsi="Arial"/>
          <w:b/>
          <w:bCs/>
          <w:color w:val="0D1117"/>
          <w:sz w:val="22"/>
          <w:szCs w:val="22"/>
        </w:rPr>
        <w:t xml:space="preserve">10.5  Notices</w:t>
      </w:r>
    </w:p>
    <w:p>
      <w:pPr>
        <w:spacing w:after="80" w:before="80"/>
        <w:jc w:val="left"/>
      </w:pPr>
      <w:r>
        <w:rPr>
          <w:rFonts w:ascii="Arial" w:cs="Arial" w:eastAsia="Arial" w:hAnsi="Arial"/>
          <w:b w:val="false"/>
          <w:bCs w:val="false"/>
          <w:i w:val="false"/>
          <w:iCs w:val="false"/>
          <w:color w:val="0D1117"/>
          <w:sz w:val="20"/>
          <w:szCs w:val="20"/>
        </w:rPr>
        <w:t xml:space="preserve">Notices shall be delivered by email to the addresses on the cover page and are effective on the next business day after transmission.</w:t>
      </w:r>
    </w:p>
    <w:p>
      <w:pPr>
        <w:spacing w:after="0" w:before="60"/>
      </w:pPr>
      <w:r>
        <w:t xml:space="preserve"/>
      </w:r>
    </w:p>
    <w:p>
      <w:pPr>
        <w:pBdr>
          <w:bottom w:val="single" w:color="E2E4E9" w:sz="4"/>
        </w:pBdr>
        <w:spacing w:after="120" w:before="120"/>
      </w:pPr>
      <w:r>
        <w:t xml:space="preserve"/>
      </w:r>
    </w:p>
    <w:p>
      <w:r>
        <w:br w:type="page"/>
      </w:r>
    </w:p>
    <w:p>
      <w:pPr>
        <w:spacing w:after="40" w:before="0"/>
        <w:jc w:val="center"/>
      </w:pPr>
      <w:r>
        <w:rPr>
          <w:rFonts w:ascii="Arial" w:cs="Arial" w:eastAsia="Arial" w:hAnsi="Arial"/>
          <w:b/>
          <w:bCs/>
          <w:color w:val="0D1117"/>
          <w:sz w:val="28"/>
          <w:szCs w:val="28"/>
        </w:rPr>
        <w:t xml:space="preserve">SCHEDULE A — SCOPE OF SERVICES &amp; FEES</w:t>
      </w:r>
    </w:p>
    <w:p>
      <w:pPr>
        <w:spacing w:after="80" w:before="0"/>
        <w:jc w:val="center"/>
      </w:pPr>
      <w:r>
        <w:rPr>
          <w:rFonts w:ascii="Arial" w:cs="Arial" w:eastAsia="Arial" w:hAnsi="Arial"/>
          <w:color w:val="666677"/>
          <w:sz w:val="19"/>
          <w:szCs w:val="19"/>
        </w:rPr>
        <w:t xml:space="preserve">Complete this Schedule for each engagement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Engagement Title:</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iCs/>
                <w:color w:val="2563EB"/>
                <w:sz w:val="19"/>
                <w:szCs w:val="19"/>
              </w:rPr>
              <w:t xml:space="preserve">[●]</w:t>
            </w:r>
          </w:p>
        </w:tc>
      </w:tr>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Engagement Description:</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iCs/>
                <w:color w:val="2563EB"/>
                <w:sz w:val="19"/>
                <w:szCs w:val="19"/>
              </w:rPr>
              <w:t xml:space="preserve">[Detailed description of services to be rendered]</w:t>
            </w:r>
          </w:p>
        </w:tc>
      </w:tr>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Key Deliverables:</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iCs/>
                <w:color w:val="2563EB"/>
                <w:sz w:val="19"/>
                <w:szCs w:val="19"/>
              </w:rPr>
              <w:t xml:space="preserve">[List deliverables with format and deadline for each]</w:t>
            </w:r>
          </w:p>
        </w:tc>
      </w:tr>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AI Tools to be Used:</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iCs/>
                <w:color w:val="2563EB"/>
                <w:sz w:val="19"/>
                <w:szCs w:val="19"/>
              </w:rPr>
              <w:t xml:space="preserve">[e.g., OpenAI GPT-4o — for report drafting and data summarisation]</w:t>
            </w:r>
          </w:p>
        </w:tc>
      </w:tr>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Timeline / Milestones:</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iCs/>
                <w:color w:val="2563EB"/>
                <w:sz w:val="19"/>
                <w:szCs w:val="19"/>
              </w:rPr>
              <w:t xml:space="preserve">[Start date, key milestones, completion date]</w:t>
            </w:r>
          </w:p>
        </w:tc>
      </w:tr>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Project Manager (RA):</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iCs/>
                <w:color w:val="2563EB"/>
                <w:sz w:val="19"/>
                <w:szCs w:val="19"/>
              </w:rPr>
              <w:t xml:space="preserve">[●]</w:t>
            </w:r>
          </w:p>
        </w:tc>
      </w:tr>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Client Contact:</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iCs/>
                <w:color w:val="2563EB"/>
                <w:sz w:val="19"/>
                <w:szCs w:val="19"/>
              </w:rPr>
              <w:t xml:space="preserve">[●]</w:t>
            </w:r>
          </w:p>
        </w:tc>
      </w:tr>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Fees:</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iCs/>
                <w:color w:val="2563EB"/>
                <w:sz w:val="19"/>
                <w:szCs w:val="19"/>
              </w:rPr>
              <w:t xml:space="preserve">[e.g., R [●] per hour / fixed fee of R [●]]</w:t>
            </w:r>
          </w:p>
        </w:tc>
      </w:tr>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Payment Schedule:</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iCs/>
                <w:color w:val="2563EB"/>
                <w:sz w:val="19"/>
                <w:szCs w:val="19"/>
              </w:rPr>
              <w:t xml:space="preserve">[e.g., 50% on signing, 50% on delivery]</w:t>
            </w:r>
          </w:p>
        </w:tc>
      </w:tr>
      <w:tr>
        <w:tc>
          <w:tcPr>
            <w:tcW w:type="dxa" w:w="24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r>
              <w:rPr>
                <w:rFonts w:ascii="Arial" w:cs="Arial" w:eastAsia="Arial" w:hAnsi="Arial"/>
                <w:b/>
                <w:bCs/>
                <w:color w:val="0D1117"/>
                <w:sz w:val="19"/>
                <w:szCs w:val="19"/>
              </w:rPr>
              <w:t xml:space="preserve">Expenses:</w:t>
            </w:r>
          </w:p>
        </w:tc>
        <w:tc>
          <w:tcPr>
            <w:tcW w:type="dxa" w:w="69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r>
              <w:rPr>
                <w:rFonts w:ascii="Arial" w:cs="Arial" w:eastAsia="Arial" w:hAnsi="Arial"/>
                <w:i/>
                <w:iCs/>
                <w:color w:val="2563EB"/>
                <w:sz w:val="19"/>
                <w:szCs w:val="19"/>
              </w:rPr>
              <w:t xml:space="preserve">[Billable / Not billable / Capped at R [●]]</w:t>
            </w:r>
          </w:p>
        </w:tc>
      </w:tr>
    </w:tbl>
    <w:p>
      <w:pPr>
        <w:spacing w:after="0" w:before="60"/>
      </w:pPr>
      <w:r>
        <w:t xml:space="preserve"/>
      </w:r>
    </w:p>
    <w:p>
      <w:pPr>
        <w:pBdr>
          <w:bottom w:val="single" w:color="E2E4E9" w:sz="4"/>
        </w:pBdr>
        <w:spacing w:after="120" w:before="120"/>
      </w:pPr>
      <w:r>
        <w:t xml:space="preserve"/>
      </w:r>
    </w:p>
    <w:p>
      <w:r>
        <w:br w:type="page"/>
      </w:r>
    </w:p>
    <w:p>
      <w:pPr>
        <w:spacing w:after="60" w:before="0"/>
        <w:jc w:val="center"/>
      </w:pPr>
      <w:r>
        <w:rPr>
          <w:rFonts w:ascii="Arial" w:cs="Arial" w:eastAsia="Arial" w:hAnsi="Arial"/>
          <w:b/>
          <w:bCs/>
          <w:color w:val="0D1117"/>
          <w:sz w:val="28"/>
          <w:szCs w:val="28"/>
        </w:rPr>
        <w:t xml:space="preserve">SIGNATURE PAGE</w:t>
      </w:r>
    </w:p>
    <w:p>
      <w:pPr>
        <w:spacing w:after="80" w:before="80"/>
        <w:jc w:val="left"/>
      </w:pPr>
      <w:r>
        <w:rPr>
          <w:rFonts w:ascii="Arial" w:cs="Arial" w:eastAsia="Arial" w:hAnsi="Arial"/>
          <w:b w:val="false"/>
          <w:bCs w:val="false"/>
          <w:i w:val="false"/>
          <w:iCs w:val="false"/>
          <w:color w:val="0D1117"/>
          <w:sz w:val="20"/>
          <w:szCs w:val="20"/>
        </w:rPr>
        <w:t xml:space="preserve">The Parties have signed this Agreement as of the Agreement Date on the cover page: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E8521A"/>
                <w:sz w:val="20"/>
                <w:szCs w:val="20"/>
              </w:rPr>
              <w:t xml:space="preserve">FOR: RALPH ANALYTICS (PTY) LTD</w:t>
            </w:r>
          </w:p>
        </w:tc>
        <w:tc>
          <w:tcPr>
            <w:tcW w:type="dxa" w:w="4800"/>
            <w:tcBorders>
              <w:top w:val="single" w:color="E2E4E9" w:sz="6"/>
              <w:left w:val="single" w:color="E2E4E9" w:sz="6"/>
              <w:bottom w:val="single" w:color="E2E4E9" w:sz="6"/>
              <w:right w:val="single" w:color="E2E4E9" w:sz="6"/>
            </w:tcBorders>
            <w:shd w:fill="F4F5F7" w:val="clear"/>
            <w:tcMar>
              <w:top w:type="dxa" w:w="100"/>
              <w:left w:type="dxa" w:w="140"/>
              <w:bottom w:type="dxa" w:w="100"/>
              <w:right w:type="dxa" w:w="140"/>
            </w:tcMar>
            <w:vAlign w:val="center"/>
          </w:tcPr>
          <w:p>
            <w:pPr>
              <w:spacing w:after="80" w:before="80"/>
              <w:jc w:val="left"/>
            </w:pPr>
            <w:r>
              <w:rPr>
                <w:rFonts w:ascii="Arial" w:cs="Arial" w:eastAsia="Arial" w:hAnsi="Arial"/>
                <w:b/>
                <w:bCs/>
                <w:i w:val="false"/>
                <w:iCs w:val="false"/>
                <w:color w:val="0D1117"/>
                <w:sz w:val="20"/>
                <w:szCs w:val="20"/>
              </w:rPr>
              <w:t xml:space="preserve">FOR: [CLIENT NAME]</w:t>
            </w:r>
          </w:p>
        </w:tc>
      </w:tr>
      <w:tr>
        <w:tc>
          <w:tcPr>
            <w:tcW w:type="dxa" w:w="45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80" w:before="80"/>
            </w:pPr>
            <w:r>
              <w:rPr>
                <w:rFonts w:ascii="Arial" w:cs="Arial" w:eastAsia="Arial" w:hAnsi="Arial"/>
                <w:b/>
                <w:bCs/>
                <w:color w:val="0D1117"/>
                <w:sz w:val="19"/>
                <w:szCs w:val="19"/>
              </w:rPr>
              <w:t xml:space="preserve">Signature:  </w:t>
            </w:r>
            <w:r>
              <w:rPr>
                <w:rFonts w:ascii="Arial" w:cs="Arial" w:eastAsia="Arial" w:hAnsi="Arial"/>
                <w:color w:val="666677"/>
                <w:sz w:val="19"/>
                <w:szCs w:val="19"/>
              </w:rPr>
              <w:t xml:space="preserve">______________________________</w:t>
            </w:r>
          </w:p>
        </w:tc>
        <w:tc>
          <w:tcPr>
            <w:tcW w:type="dxa" w:w="48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80" w:before="80"/>
            </w:pPr>
            <w:r>
              <w:rPr>
                <w:rFonts w:ascii="Arial" w:cs="Arial" w:eastAsia="Arial" w:hAnsi="Arial"/>
                <w:b/>
                <w:bCs/>
                <w:color w:val="0D1117"/>
                <w:sz w:val="19"/>
                <w:szCs w:val="19"/>
              </w:rPr>
              <w:t xml:space="preserve">Signature:  </w:t>
            </w:r>
            <w:r>
              <w:rPr>
                <w:rFonts w:ascii="Arial" w:cs="Arial" w:eastAsia="Arial" w:hAnsi="Arial"/>
                <w:color w:val="666677"/>
                <w:sz w:val="19"/>
                <w:szCs w:val="19"/>
              </w:rPr>
              <w:t xml:space="preserve">______________________________</w:t>
            </w:r>
          </w:p>
        </w:tc>
      </w:tr>
      <w:tr>
        <w:tc>
          <w:tcPr>
            <w:tcW w:type="dxa" w:w="45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80" w:before="80"/>
            </w:pPr>
            <w:r>
              <w:rPr>
                <w:rFonts w:ascii="Arial" w:cs="Arial" w:eastAsia="Arial" w:hAnsi="Arial"/>
                <w:b/>
                <w:bCs/>
                <w:color w:val="0D1117"/>
                <w:sz w:val="19"/>
                <w:szCs w:val="19"/>
              </w:rPr>
              <w:t xml:space="preserve">Name:  </w:t>
            </w:r>
            <w:r>
              <w:rPr>
                <w:rFonts w:ascii="Arial" w:cs="Arial" w:eastAsia="Arial" w:hAnsi="Arial"/>
                <w:color w:val="666677"/>
                <w:sz w:val="19"/>
                <w:szCs w:val="19"/>
              </w:rPr>
              <w:t xml:space="preserve">______________________________</w:t>
            </w:r>
          </w:p>
        </w:tc>
        <w:tc>
          <w:tcPr>
            <w:tcW w:type="dxa" w:w="48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80" w:before="80"/>
            </w:pPr>
            <w:r>
              <w:rPr>
                <w:rFonts w:ascii="Arial" w:cs="Arial" w:eastAsia="Arial" w:hAnsi="Arial"/>
                <w:b/>
                <w:bCs/>
                <w:color w:val="0D1117"/>
                <w:sz w:val="19"/>
                <w:szCs w:val="19"/>
              </w:rPr>
              <w:t xml:space="preserve">Name:  </w:t>
            </w:r>
            <w:r>
              <w:rPr>
                <w:rFonts w:ascii="Arial" w:cs="Arial" w:eastAsia="Arial" w:hAnsi="Arial"/>
                <w:color w:val="666677"/>
                <w:sz w:val="19"/>
                <w:szCs w:val="19"/>
              </w:rPr>
              <w:t xml:space="preserve">______________________________</w:t>
            </w:r>
          </w:p>
        </w:tc>
      </w:tr>
      <w:tr>
        <w:tc>
          <w:tcPr>
            <w:tcW w:type="dxa" w:w="45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80" w:before="80"/>
            </w:pPr>
            <w:r>
              <w:rPr>
                <w:rFonts w:ascii="Arial" w:cs="Arial" w:eastAsia="Arial" w:hAnsi="Arial"/>
                <w:b/>
                <w:bCs/>
                <w:color w:val="0D1117"/>
                <w:sz w:val="19"/>
                <w:szCs w:val="19"/>
              </w:rPr>
              <w:t xml:space="preserve">Title:  </w:t>
            </w:r>
            <w:r>
              <w:rPr>
                <w:rFonts w:ascii="Arial" w:cs="Arial" w:eastAsia="Arial" w:hAnsi="Arial"/>
                <w:color w:val="666677"/>
                <w:sz w:val="19"/>
                <w:szCs w:val="19"/>
              </w:rPr>
              <w:t xml:space="preserve">______________________________</w:t>
            </w:r>
          </w:p>
        </w:tc>
        <w:tc>
          <w:tcPr>
            <w:tcW w:type="dxa" w:w="48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80" w:before="80"/>
            </w:pPr>
            <w:r>
              <w:rPr>
                <w:rFonts w:ascii="Arial" w:cs="Arial" w:eastAsia="Arial" w:hAnsi="Arial"/>
                <w:b/>
                <w:bCs/>
                <w:color w:val="0D1117"/>
                <w:sz w:val="19"/>
                <w:szCs w:val="19"/>
              </w:rPr>
              <w:t xml:space="preserve">Title:  </w:t>
            </w:r>
            <w:r>
              <w:rPr>
                <w:rFonts w:ascii="Arial" w:cs="Arial" w:eastAsia="Arial" w:hAnsi="Arial"/>
                <w:color w:val="666677"/>
                <w:sz w:val="19"/>
                <w:szCs w:val="19"/>
              </w:rPr>
              <w:t xml:space="preserve">______________________________</w:t>
            </w:r>
          </w:p>
        </w:tc>
      </w:tr>
      <w:tr>
        <w:tc>
          <w:tcPr>
            <w:tcW w:type="dxa" w:w="456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80" w:before="80"/>
            </w:pPr>
            <w:r>
              <w:rPr>
                <w:rFonts w:ascii="Arial" w:cs="Arial" w:eastAsia="Arial" w:hAnsi="Arial"/>
                <w:b/>
                <w:bCs/>
                <w:color w:val="0D1117"/>
                <w:sz w:val="19"/>
                <w:szCs w:val="19"/>
              </w:rPr>
              <w:t xml:space="preserve">Date:  </w:t>
            </w:r>
            <w:r>
              <w:rPr>
                <w:rFonts w:ascii="Arial" w:cs="Arial" w:eastAsia="Arial" w:hAnsi="Arial"/>
                <w:color w:val="666677"/>
                <w:sz w:val="19"/>
                <w:szCs w:val="19"/>
              </w:rPr>
              <w:t xml:space="preserve">______________________________</w:t>
            </w:r>
          </w:p>
        </w:tc>
        <w:tc>
          <w:tcPr>
            <w:tcW w:type="dxa" w:w="4800"/>
            <w:tcBorders>
              <w:top w:val="single" w:color="E2E4E9" w:sz="6"/>
              <w:left w:val="single" w:color="E2E4E9" w:sz="6"/>
              <w:bottom w:val="single" w:color="E2E4E9" w:sz="6"/>
              <w:right w:val="single" w:color="E2E4E9" w:sz="6"/>
            </w:tcBorders>
            <w:shd w:fill="FFFFFF" w:val="clear"/>
            <w:tcMar>
              <w:top w:type="dxa" w:w="100"/>
              <w:left w:type="dxa" w:w="140"/>
              <w:bottom w:type="dxa" w:w="100"/>
              <w:right w:type="dxa" w:w="140"/>
            </w:tcMar>
            <w:vAlign w:val="center"/>
          </w:tcPr>
          <w:p>
            <w:pPr>
              <w:spacing w:after="80" w:before="80"/>
            </w:pPr>
            <w:r>
              <w:rPr>
                <w:rFonts w:ascii="Arial" w:cs="Arial" w:eastAsia="Arial" w:hAnsi="Arial"/>
                <w:b/>
                <w:bCs/>
                <w:color w:val="0D1117"/>
                <w:sz w:val="19"/>
                <w:szCs w:val="19"/>
              </w:rPr>
              <w:t xml:space="preserve">Date:  </w:t>
            </w:r>
            <w:r>
              <w:rPr>
                <w:rFonts w:ascii="Arial" w:cs="Arial" w:eastAsia="Arial" w:hAnsi="Arial"/>
                <w:color w:val="666677"/>
                <w:sz w:val="19"/>
                <w:szCs w:val="19"/>
              </w:rPr>
              <w:t xml:space="preserve">______________________________</w:t>
            </w:r>
          </w:p>
        </w:tc>
      </w:tr>
    </w:tbl>
    <w:p>
      <w:pPr>
        <w:spacing w:after="0" w:before="80"/>
      </w:pPr>
      <w:r>
        <w:t xml:space="preserve"/>
      </w:r>
    </w:p>
    <w:p>
      <w:pPr>
        <w:pBdr>
          <w:bottom w:val="single" w:color="E2E4E9" w:sz="4"/>
        </w:pBdr>
        <w:spacing w:after="120" w:before="120"/>
      </w:pPr>
      <w:r>
        <w:t xml:space="preserve"/>
      </w:r>
    </w:p>
    <w:p>
      <w:pPr>
        <w:spacing w:after="0" w:before="40"/>
      </w:pPr>
      <w:r>
        <w:t xml:space="preserve"/>
      </w:r>
    </w:p>
    <w:p>
      <w:pPr>
        <w:spacing w:after="80" w:before="80"/>
        <w:jc w:val="left"/>
      </w:pPr>
      <w:r>
        <w:rPr>
          <w:rFonts w:ascii="Arial" w:cs="Arial" w:eastAsia="Arial" w:hAnsi="Arial"/>
          <w:b w:val="false"/>
          <w:bCs w:val="false"/>
          <w:i/>
          <w:iCs/>
          <w:color w:val="666677"/>
          <w:sz w:val="20"/>
          <w:szCs w:val="20"/>
        </w:rPr>
        <w:t xml:space="preserve">Document Reference: RA-CONTRACT-PSA-001 | Version 1.0 | 26 June 2026</w:t>
      </w:r>
    </w:p>
    <w:p>
      <w:pPr>
        <w:spacing w:after="80" w:before="80"/>
        <w:jc w:val="left"/>
      </w:pPr>
      <w:r>
        <w:rPr>
          <w:rFonts w:ascii="Arial" w:cs="Arial" w:eastAsia="Arial" w:hAnsi="Arial"/>
          <w:b w:val="false"/>
          <w:bCs w:val="false"/>
          <w:i/>
          <w:iCs/>
          <w:color w:val="666677"/>
          <w:sz w:val="20"/>
          <w:szCs w:val="20"/>
        </w:rPr>
        <w:t xml:space="preserve">© 2026 Ralph Analytics (Pty) Ltd. This template is proprietary and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E2E4E9" w:sz="6"/>
            <w:left w:val="none" w:color="FFFFFF" w:sz="0"/>
            <w:bottom w:val="none" w:color="FFFFFF" w:sz="0"/>
            <w:right w:val="none" w:color="FFFFFF" w:sz="0"/>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666677"/>
              <w:sz w:val="16"/>
              <w:szCs w:val="16"/>
            </w:rPr>
            <w:t xml:space="preserve">© 2026 Ralph Analytics (Pty) Ltd. All rights reserved.</w:t>
          </w:r>
        </w:p>
      </w:tc>
      <w:tc>
        <w:tcPr>
          <w:tcW w:type="dxa" w:w="3360"/>
          <w:tcBorders>
            <w:top w:val="single" w:color="E2E4E9" w:sz="6"/>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color w:val="666677"/>
              <w:sz w:val="16"/>
              <w:szCs w:val="16"/>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E2E4E9" w:sz="6"/>
            <w:right w:val="none" w:color="FFFFFF" w:sz="0"/>
          </w:tcBorders>
          <w:tcMar>
            <w:top w:type="dxa" w:w="100"/>
            <w:left w:type="dxa" w:w="140"/>
            <w:bottom w:type="dxa" w:w="100"/>
            <w:right w:type="dxa" w:w="140"/>
          </w:tcMar>
          <w:vAlign w:val="center"/>
        </w:tcPr>
        <w:p>
          <w:pPr>
            <w:spacing w:after="80" w:before="80"/>
            <w:jc w:val="left"/>
          </w:pPr>
          <w:r>
            <w:rPr>
              <w:rFonts w:ascii="Arial" w:cs="Arial" w:eastAsia="Arial" w:hAnsi="Arial"/>
              <w:b w:val="false"/>
              <w:bCs w:val="false"/>
              <w:i w:val="false"/>
              <w:iCs w:val="false"/>
              <w:color w:val="666677"/>
              <w:sz w:val="16"/>
              <w:szCs w:val="16"/>
            </w:rPr>
            <w:t xml:space="preserve">Ralph Analytics – Professional Services Agreement</w:t>
          </w:r>
        </w:p>
      </w:tc>
      <w:tc>
        <w:tcPr>
          <w:tcW w:type="dxa" w:w="3360"/>
          <w:tcBorders>
            <w:top w:val="none" w:color="FFFFFF" w:sz="0"/>
            <w:left w:val="none" w:color="FFFFFF" w:sz="0"/>
            <w:bottom w:val="single" w:color="E2E4E9" w:sz="6"/>
            <w:right w:val="none" w:color="FFFFFF" w:sz="0"/>
          </w:tcBorders>
          <w:tcMar>
            <w:top w:type="dxa" w:w="100"/>
            <w:left w:type="dxa" w:w="140"/>
            <w:bottom w:type="dxa" w:w="100"/>
            <w:right w:type="dxa" w:w="140"/>
          </w:tcMar>
          <w:vAlign w:val="center"/>
        </w:tcPr>
        <w:p>
          <w:pPr>
            <w:jc w:val="right"/>
          </w:pPr>
          <w:r>
            <w:rPr>
              <w:rFonts w:ascii="Arial" w:cs="Arial" w:eastAsia="Arial" w:hAnsi="Arial"/>
              <w:color w:val="666677"/>
              <w:sz w:val="16"/>
              <w:szCs w:val="16"/>
            </w:rPr>
            <w:t xml:space="preserve">RA-CONTRACT-PSA-001  |  </w:t>
          </w:r>
          <w:r>
            <w:rPr>
              <w:rFonts w:ascii="Arial" w:cs="Arial" w:eastAsia="Arial" w:hAnsi="Arial"/>
              <w:b/>
              <w:bCs/>
              <w:color w:val="E8521A"/>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E852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20"/>
      <w:outlineLvl w:val="0"/>
    </w:pPr>
    <w:rPr>
      <w:rFonts w:ascii="Arial" w:cs="Arial" w:eastAsia="Arial" w:hAnsi="Arial"/>
      <w:b/>
      <w:bCs/>
      <w:color w:val="0D1117"/>
      <w:sz w:val="28"/>
      <w:szCs w:val="28"/>
    </w:rPr>
  </w:style>
  <w:style w:type="paragraph" w:styleId="Heading2">
    <w:name w:val="Heading 2"/>
    <w:basedOn w:val="Normal"/>
    <w:next w:val="Normal"/>
    <w:pPr>
      <w:spacing w:after="100" w:before="200"/>
      <w:outlineLvl w:val="1"/>
    </w:pPr>
    <w:rPr>
      <w:rFonts w:ascii="Arial" w:cs="Arial" w:eastAsia="Arial" w:hAnsi="Arial"/>
      <w:b/>
      <w:bCs/>
      <w:color w:val="0D11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Ralph Analytics – Professional Services Agreement</dc:title>
  <dc:creator>Ralph Analytics</dc:creator>
  <cp:lastModifiedBy>Un-named</cp:lastModifiedBy>
  <cp:revision>1</cp:revision>
  <dcterms:created xsi:type="dcterms:W3CDTF">2026-06-26T07:16:25.558Z</dcterms:created>
  <dcterms:modified xsi:type="dcterms:W3CDTF">2026-06-26T07:16:25.559Z</dcterms:modified>
</cp:coreProperties>
</file>

<file path=docProps/custom.xml><?xml version="1.0" encoding="utf-8"?>
<Properties xmlns="http://schemas.openxmlformats.org/officeDocument/2006/custom-properties" xmlns:vt="http://schemas.openxmlformats.org/officeDocument/2006/docPropsVTypes"/>
</file>